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9054" w14:textId="6E58C8FD" w:rsidR="00866EF0" w:rsidRDefault="00D140C9" w:rsidP="00866EF0">
      <w:pPr>
        <w:tabs>
          <w:tab w:val="left" w:pos="10632"/>
          <w:tab w:val="left" w:pos="13133"/>
          <w:tab w:val="left" w:pos="13329"/>
          <w:tab w:val="left" w:pos="14749"/>
        </w:tabs>
        <w:spacing w:after="0" w:line="240" w:lineRule="auto"/>
        <w:ind w:left="70"/>
        <w:rPr>
          <w:rFonts w:ascii="Arial" w:eastAsia="Times New Roman" w:hAnsi="Arial" w:cs="Arial"/>
          <w:kern w:val="0"/>
          <w:sz w:val="20"/>
          <w:szCs w:val="20"/>
          <w:lang w:eastAsia="pt-BR"/>
        </w:rPr>
      </w:pPr>
      <w:r w:rsidRPr="00D140C9">
        <w:rPr>
          <w:rFonts w:ascii="Arial" w:eastAsia="Times New Roman" w:hAnsi="Arial" w:cs="Arial"/>
          <w:b/>
          <w:bCs/>
          <w:noProof/>
          <w:color w:val="FF0000"/>
          <w:kern w:val="0"/>
          <w:sz w:val="56"/>
          <w:szCs w:val="56"/>
          <w:lang w:eastAsia="pt-BR"/>
        </w:rPr>
        <mc:AlternateContent>
          <mc:Choice Requires="wps">
            <w:drawing>
              <wp:anchor distT="45720" distB="45720" distL="114300" distR="114300" simplePos="0" relativeHeight="251659264" behindDoc="0" locked="0" layoutInCell="1" allowOverlap="1" wp14:anchorId="4A49D81B" wp14:editId="5F238779">
                <wp:simplePos x="0" y="0"/>
                <wp:positionH relativeFrom="column">
                  <wp:posOffset>5406390</wp:posOffset>
                </wp:positionH>
                <wp:positionV relativeFrom="paragraph">
                  <wp:posOffset>62230</wp:posOffset>
                </wp:positionV>
                <wp:extent cx="904875" cy="5143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14350"/>
                        </a:xfrm>
                        <a:prstGeom prst="rect">
                          <a:avLst/>
                        </a:prstGeom>
                        <a:solidFill>
                          <a:srgbClr val="FFFFFF"/>
                        </a:solidFill>
                        <a:ln w="9525">
                          <a:noFill/>
                          <a:miter lim="800000"/>
                          <a:headEnd/>
                          <a:tailEnd/>
                        </a:ln>
                      </wps:spPr>
                      <wps:txbx>
                        <w:txbxContent>
                          <w:p w14:paraId="1C60A816" w14:textId="49433A02" w:rsidR="00D140C9" w:rsidRPr="00D140C9" w:rsidRDefault="00D140C9" w:rsidP="00D140C9">
                            <w:pPr>
                              <w:jc w:val="center"/>
                              <w:rPr>
                                <w:rFonts w:ascii="Arial" w:hAnsi="Arial" w:cs="Arial"/>
                                <w:b/>
                                <w:bCs/>
                                <w:color w:val="FF000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9D81B" id="_x0000_t202" coordsize="21600,21600" o:spt="202" path="m,l,21600r21600,l21600,xe">
                <v:stroke joinstyle="miter"/>
                <v:path gradientshapeok="t" o:connecttype="rect"/>
              </v:shapetype>
              <v:shape id="Caixa de Texto 2" o:spid="_x0000_s1026" type="#_x0000_t202" style="position:absolute;left:0;text-align:left;margin-left:425.7pt;margin-top:4.9pt;width:71.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" stroked="f">
                <v:textbox>
                  <w:txbxContent>
                    <w:p w14:paraId="1C60A816" w14:textId="49433A02" w:rsidR="00D140C9" w:rsidRPr="00D140C9" w:rsidRDefault="00D140C9" w:rsidP="00D140C9">
                      <w:pPr>
                        <w:jc w:val="center"/>
                        <w:rPr>
                          <w:rFonts w:ascii="Arial" w:hAnsi="Arial" w:cs="Arial"/>
                          <w:b/>
                          <w:bCs/>
                          <w:color w:val="FF0000"/>
                          <w:sz w:val="72"/>
                          <w:szCs w:val="72"/>
                        </w:rPr>
                      </w:pPr>
                    </w:p>
                  </w:txbxContent>
                </v:textbox>
                <w10:wrap type="square"/>
              </v:shape>
            </w:pict>
          </mc:Fallback>
        </mc:AlternateContent>
      </w:r>
      <w:r w:rsidR="008F2E62">
        <w:rPr>
          <w:rFonts w:ascii="Arial" w:eastAsia="Times New Roman" w:hAnsi="Arial" w:cs="Arial"/>
          <w:bCs/>
          <w:noProof/>
          <w:sz w:val="20"/>
          <w:szCs w:val="20"/>
          <w:lang w:eastAsia="pt-BR"/>
        </w:rPr>
        <w:drawing>
          <wp:inline distT="0" distB="0" distL="0" distR="0" wp14:anchorId="74FC1B4C" wp14:editId="1AC2DF28">
            <wp:extent cx="5153025" cy="1060206"/>
            <wp:effectExtent l="0" t="0" r="0" b="0"/>
            <wp:docPr id="6044147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4795" name="Imagem 604414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2351" cy="1062125"/>
                    </a:xfrm>
                    <a:prstGeom prst="rect">
                      <a:avLst/>
                    </a:prstGeom>
                  </pic:spPr>
                </pic:pic>
              </a:graphicData>
            </a:graphic>
          </wp:inline>
        </w:drawing>
      </w:r>
    </w:p>
    <w:p w14:paraId="2B9EA798" w14:textId="77777777" w:rsidR="00ED2A57" w:rsidRDefault="00ED2A57" w:rsidP="00866EF0">
      <w:pPr>
        <w:tabs>
          <w:tab w:val="left" w:pos="10632"/>
          <w:tab w:val="left" w:pos="13133"/>
          <w:tab w:val="left" w:pos="13329"/>
          <w:tab w:val="left" w:pos="14749"/>
        </w:tabs>
        <w:spacing w:after="0" w:line="240" w:lineRule="auto"/>
        <w:ind w:left="70"/>
        <w:rPr>
          <w:rFonts w:ascii="Arial" w:eastAsia="Times New Roman" w:hAnsi="Arial" w:cs="Arial"/>
          <w:kern w:val="0"/>
          <w:sz w:val="20"/>
          <w:szCs w:val="20"/>
          <w:lang w:eastAsia="pt-BR"/>
        </w:rPr>
      </w:pPr>
    </w:p>
    <w:tbl>
      <w:tblPr>
        <w:tblW w:w="20100" w:type="dxa"/>
        <w:tblInd w:w="70" w:type="dxa"/>
        <w:tblCellMar>
          <w:left w:w="70" w:type="dxa"/>
          <w:right w:w="70" w:type="dxa"/>
        </w:tblCellMar>
        <w:tblLook w:val="04A0" w:firstRow="1" w:lastRow="0" w:firstColumn="1" w:lastColumn="0" w:noHBand="0" w:noVBand="1"/>
      </w:tblPr>
      <w:tblGrid>
        <w:gridCol w:w="20100"/>
      </w:tblGrid>
      <w:tr w:rsidR="008F2E62" w:rsidRPr="00E5211A" w14:paraId="31048672" w14:textId="77777777" w:rsidTr="002A7804">
        <w:trPr>
          <w:trHeight w:val="300"/>
        </w:trPr>
        <w:tc>
          <w:tcPr>
            <w:tcW w:w="20100" w:type="dxa"/>
            <w:tcBorders>
              <w:top w:val="nil"/>
              <w:left w:val="nil"/>
              <w:bottom w:val="nil"/>
              <w:right w:val="nil"/>
            </w:tcBorders>
            <w:shd w:val="clear" w:color="auto" w:fill="auto"/>
            <w:vAlign w:val="center"/>
            <w:hideMark/>
          </w:tcPr>
          <w:p w14:paraId="61C72C8A" w14:textId="34C0C6BE" w:rsidR="008F2E62" w:rsidRPr="00E5211A" w:rsidRDefault="008F2E62" w:rsidP="002A7804">
            <w:pPr>
              <w:spacing w:after="0" w:line="240" w:lineRule="auto"/>
              <w:rPr>
                <w:rFonts w:eastAsia="Times New Roman" w:cs="Calibri"/>
                <w:b/>
                <w:bCs/>
                <w:sz w:val="20"/>
                <w:szCs w:val="20"/>
                <w:lang w:eastAsia="pt-BR"/>
              </w:rPr>
            </w:pPr>
            <w:r w:rsidRPr="00E5211A">
              <w:rPr>
                <w:rFonts w:eastAsia="Times New Roman" w:cs="Calibri"/>
                <w:b/>
                <w:bCs/>
                <w:sz w:val="20"/>
                <w:szCs w:val="20"/>
                <w:lang w:eastAsia="pt-BR"/>
              </w:rPr>
              <w:t>ÓRGÃO/ENTIDADE:</w:t>
            </w:r>
            <w:r w:rsidR="007A3693" w:rsidRPr="0043143F">
              <w:rPr>
                <w:rFonts w:eastAsia="Times New Roman" w:cs="Calibri"/>
                <w:b/>
                <w:bCs/>
                <w:highlight w:val="yellow"/>
                <w:lang w:eastAsia="pt-BR"/>
              </w:rPr>
              <w:t xml:space="preserve"> </w:t>
            </w:r>
          </w:p>
        </w:tc>
      </w:tr>
      <w:tr w:rsidR="008F2E62" w:rsidRPr="00E5211A" w14:paraId="32A9A6C5" w14:textId="77777777" w:rsidTr="002A7804">
        <w:trPr>
          <w:trHeight w:val="300"/>
        </w:trPr>
        <w:tc>
          <w:tcPr>
            <w:tcW w:w="20100" w:type="dxa"/>
            <w:tcBorders>
              <w:top w:val="nil"/>
              <w:left w:val="nil"/>
              <w:bottom w:val="nil"/>
              <w:right w:val="nil"/>
            </w:tcBorders>
            <w:shd w:val="clear" w:color="auto" w:fill="auto"/>
            <w:vAlign w:val="center"/>
            <w:hideMark/>
          </w:tcPr>
          <w:p w14:paraId="15A694DD" w14:textId="62954821" w:rsidR="008F2E62" w:rsidRPr="00E5211A" w:rsidRDefault="008F2E62" w:rsidP="002A7804">
            <w:pPr>
              <w:spacing w:after="0" w:line="240" w:lineRule="auto"/>
              <w:rPr>
                <w:rFonts w:eastAsia="Times New Roman" w:cs="Calibri"/>
                <w:b/>
                <w:bCs/>
                <w:sz w:val="20"/>
                <w:szCs w:val="20"/>
                <w:lang w:eastAsia="pt-BR"/>
              </w:rPr>
            </w:pPr>
            <w:r w:rsidRPr="00E5211A">
              <w:rPr>
                <w:rFonts w:eastAsia="Times New Roman" w:cs="Calibri"/>
                <w:b/>
                <w:bCs/>
                <w:sz w:val="20"/>
                <w:szCs w:val="20"/>
                <w:lang w:eastAsia="pt-BR"/>
              </w:rPr>
              <w:t>TÍTULO DO TRABALHO:</w:t>
            </w:r>
            <w:r w:rsidRPr="00E5211A">
              <w:rPr>
                <w:rFonts w:eastAsia="Times New Roman" w:cs="Calibri"/>
                <w:sz w:val="20"/>
                <w:szCs w:val="20"/>
                <w:lang w:eastAsia="pt-BR"/>
              </w:rPr>
              <w:t xml:space="preserve"> </w:t>
            </w:r>
          </w:p>
        </w:tc>
      </w:tr>
      <w:tr w:rsidR="008F2E62" w:rsidRPr="00E5211A" w14:paraId="2478FF29" w14:textId="77777777" w:rsidTr="002A7804">
        <w:trPr>
          <w:trHeight w:val="300"/>
        </w:trPr>
        <w:tc>
          <w:tcPr>
            <w:tcW w:w="20100" w:type="dxa"/>
            <w:tcBorders>
              <w:top w:val="nil"/>
              <w:left w:val="nil"/>
              <w:bottom w:val="nil"/>
              <w:right w:val="nil"/>
            </w:tcBorders>
            <w:shd w:val="clear" w:color="auto" w:fill="auto"/>
            <w:noWrap/>
            <w:vAlign w:val="center"/>
            <w:hideMark/>
          </w:tcPr>
          <w:p w14:paraId="316FAE28" w14:textId="13FD036A" w:rsidR="008F2E62" w:rsidRPr="00E5211A" w:rsidRDefault="008F2E62" w:rsidP="002A7804">
            <w:pPr>
              <w:spacing w:after="0" w:line="240" w:lineRule="auto"/>
              <w:rPr>
                <w:rFonts w:eastAsia="Times New Roman" w:cs="Calibri"/>
                <w:sz w:val="20"/>
                <w:szCs w:val="20"/>
                <w:lang w:eastAsia="pt-BR"/>
              </w:rPr>
            </w:pPr>
            <w:r w:rsidRPr="00E5211A">
              <w:rPr>
                <w:rFonts w:eastAsia="Times New Roman" w:cs="Calibri"/>
                <w:b/>
                <w:bCs/>
                <w:sz w:val="20"/>
                <w:szCs w:val="20"/>
                <w:lang w:eastAsia="pt-BR"/>
              </w:rPr>
              <w:t>DATA-BASE:</w:t>
            </w:r>
            <w:r w:rsidRPr="00E5211A">
              <w:rPr>
                <w:rFonts w:eastAsia="Times New Roman" w:cs="Calibri"/>
                <w:sz w:val="20"/>
                <w:szCs w:val="20"/>
                <w:lang w:eastAsia="pt-BR"/>
              </w:rPr>
              <w:t xml:space="preserve"> </w:t>
            </w:r>
          </w:p>
        </w:tc>
      </w:tr>
      <w:tr w:rsidR="008F2E62" w:rsidRPr="00E5211A" w14:paraId="4E8E224B" w14:textId="77777777" w:rsidTr="002A7804">
        <w:trPr>
          <w:trHeight w:val="300"/>
        </w:trPr>
        <w:tc>
          <w:tcPr>
            <w:tcW w:w="20100" w:type="dxa"/>
            <w:tcBorders>
              <w:top w:val="nil"/>
              <w:left w:val="nil"/>
              <w:bottom w:val="nil"/>
              <w:right w:val="nil"/>
            </w:tcBorders>
            <w:shd w:val="clear" w:color="auto" w:fill="auto"/>
            <w:vAlign w:val="center"/>
            <w:hideMark/>
          </w:tcPr>
          <w:p w14:paraId="50E19E70" w14:textId="6C78C2C9" w:rsidR="008F2E62" w:rsidRDefault="008F2E62" w:rsidP="002A7804">
            <w:pPr>
              <w:spacing w:after="0" w:line="240" w:lineRule="auto"/>
              <w:rPr>
                <w:rFonts w:eastAsia="Times New Roman" w:cs="Calibri"/>
                <w:sz w:val="20"/>
                <w:szCs w:val="20"/>
                <w:lang w:eastAsia="pt-BR"/>
              </w:rPr>
            </w:pPr>
            <w:r w:rsidRPr="00E5211A">
              <w:rPr>
                <w:rFonts w:eastAsia="Times New Roman" w:cs="Calibri"/>
                <w:b/>
                <w:bCs/>
                <w:sz w:val="20"/>
                <w:szCs w:val="20"/>
                <w:lang w:eastAsia="pt-BR"/>
              </w:rPr>
              <w:t>ORDEM DE SERVIÇO:</w:t>
            </w:r>
            <w:r w:rsidRPr="00E5211A">
              <w:rPr>
                <w:rFonts w:eastAsia="Times New Roman" w:cs="Calibri"/>
                <w:sz w:val="20"/>
                <w:szCs w:val="20"/>
                <w:lang w:eastAsia="pt-BR"/>
              </w:rPr>
              <w:t xml:space="preserve"> </w:t>
            </w:r>
          </w:p>
          <w:p w14:paraId="7A8800A8" w14:textId="77777777" w:rsidR="008F2E62" w:rsidRPr="00E5211A" w:rsidRDefault="008F2E62" w:rsidP="002A7804">
            <w:pPr>
              <w:spacing w:after="0" w:line="240" w:lineRule="auto"/>
              <w:rPr>
                <w:rFonts w:eastAsia="Times New Roman" w:cs="Calibri"/>
                <w:sz w:val="20"/>
                <w:szCs w:val="20"/>
                <w:lang w:eastAsia="pt-BR"/>
              </w:rPr>
            </w:pPr>
          </w:p>
        </w:tc>
      </w:tr>
    </w:tbl>
    <w:p w14:paraId="358CF29D" w14:textId="7499B892" w:rsidR="00817B35" w:rsidRPr="008F2E62" w:rsidRDefault="00866EF0" w:rsidP="008F2E62">
      <w:pPr>
        <w:tabs>
          <w:tab w:val="left" w:pos="14749"/>
        </w:tabs>
        <w:spacing w:before="120" w:after="120" w:line="240" w:lineRule="auto"/>
        <w:ind w:left="70"/>
        <w:jc w:val="both"/>
        <w:rPr>
          <w:rFonts w:eastAsia="Times New Roman" w:cstheme="minorHAnsi"/>
          <w:lang w:eastAsia="pt-BR"/>
        </w:rPr>
      </w:pPr>
      <w:r w:rsidRPr="008F2E62">
        <w:rPr>
          <w:rFonts w:eastAsia="Times New Roman" w:cstheme="minorHAnsi"/>
          <w:b/>
          <w:bCs/>
          <w:lang w:eastAsia="pt-BR"/>
        </w:rPr>
        <w:t>Objetivo deste papel:</w:t>
      </w:r>
      <w:r w:rsidRPr="008F2E62">
        <w:rPr>
          <w:rFonts w:ascii="Calibri" w:eastAsia="Times New Roman" w:hAnsi="Calibri" w:cs="Calibri"/>
          <w:kern w:val="0"/>
          <w:lang w:eastAsia="pt-BR"/>
        </w:rPr>
        <w:t xml:space="preserve"> </w:t>
      </w:r>
      <w:r w:rsidR="00A51E73" w:rsidRPr="00A51E73">
        <w:rPr>
          <w:rFonts w:ascii="Calibri" w:eastAsia="Times New Roman" w:hAnsi="Calibri" w:cs="Calibri"/>
          <w:kern w:val="0"/>
          <w:lang w:eastAsia="pt-BR"/>
        </w:rPr>
        <w:t>Levantamento, documentação e avaliação da estrutura de controle interno no processo de prestação de contas das entidades.</w:t>
      </w:r>
    </w:p>
    <w:p w14:paraId="32B93B13" w14:textId="4C4C7969" w:rsidR="00404237" w:rsidRDefault="00866EF0" w:rsidP="003F68CD">
      <w:pPr>
        <w:tabs>
          <w:tab w:val="left" w:pos="14749"/>
        </w:tabs>
        <w:spacing w:before="120" w:after="120" w:line="240" w:lineRule="auto"/>
        <w:ind w:left="70"/>
        <w:jc w:val="both"/>
        <w:rPr>
          <w:rFonts w:eastAsia="Times New Roman" w:cstheme="minorHAnsi"/>
          <w:lang w:eastAsia="pt-BR"/>
        </w:rPr>
      </w:pPr>
      <w:r w:rsidRPr="008F2E62">
        <w:rPr>
          <w:rFonts w:eastAsia="Times New Roman" w:cstheme="minorHAnsi"/>
          <w:b/>
          <w:bCs/>
          <w:lang w:eastAsia="pt-BR"/>
        </w:rPr>
        <w:t>Serviço Executado:</w:t>
      </w:r>
      <w:r w:rsidR="003F68CD" w:rsidRPr="008F2E62">
        <w:rPr>
          <w:rFonts w:eastAsia="Times New Roman" w:cstheme="minorHAnsi"/>
          <w:b/>
          <w:bCs/>
          <w:lang w:eastAsia="pt-BR"/>
        </w:rPr>
        <w:t xml:space="preserve"> </w:t>
      </w:r>
      <w:r w:rsidR="00A51E73">
        <w:rPr>
          <w:rFonts w:eastAsia="Times New Roman" w:cstheme="minorHAnsi"/>
          <w:lang w:eastAsia="pt-BR"/>
        </w:rPr>
        <w:t>Foram realizados exames e o l</w:t>
      </w:r>
      <w:r w:rsidR="00A51E73" w:rsidRPr="00A51E73">
        <w:rPr>
          <w:rFonts w:eastAsia="Times New Roman" w:cstheme="minorHAnsi"/>
          <w:lang w:eastAsia="pt-BR"/>
        </w:rPr>
        <w:t xml:space="preserve">evantamento de informações referentes à </w:t>
      </w:r>
      <w:r w:rsidR="00A51E73">
        <w:rPr>
          <w:rFonts w:eastAsia="Times New Roman" w:cstheme="minorHAnsi"/>
          <w:lang w:eastAsia="pt-BR"/>
        </w:rPr>
        <w:t>e</w:t>
      </w:r>
      <w:r w:rsidR="00A51E73" w:rsidRPr="00A51E73">
        <w:rPr>
          <w:rFonts w:eastAsia="Times New Roman" w:cstheme="minorHAnsi"/>
          <w:lang w:eastAsia="pt-BR"/>
        </w:rPr>
        <w:t xml:space="preserve">strutura de controle interno </w:t>
      </w:r>
      <w:r w:rsidR="00A51E73">
        <w:rPr>
          <w:rFonts w:eastAsia="Times New Roman" w:cstheme="minorHAnsi"/>
          <w:lang w:eastAsia="pt-BR"/>
        </w:rPr>
        <w:t>para avaliação da gestão anual das entidades, tomando por base o fluxograma d</w:t>
      </w:r>
      <w:r w:rsidR="00A51E73" w:rsidRPr="00A51E73">
        <w:rPr>
          <w:rFonts w:eastAsia="Times New Roman" w:cstheme="minorHAnsi"/>
          <w:lang w:eastAsia="pt-BR"/>
        </w:rPr>
        <w:t>o processo de prestação de contas</w:t>
      </w:r>
      <w:r w:rsidR="00A51E73">
        <w:rPr>
          <w:rFonts w:eastAsia="Times New Roman" w:cstheme="minorHAnsi"/>
          <w:lang w:eastAsia="pt-BR"/>
        </w:rPr>
        <w:t xml:space="preserve"> anual das entidades e certificação da Auditoria para envio ao Tribunal de Contas do Município.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4"/>
        <w:gridCol w:w="6160"/>
      </w:tblGrid>
      <w:tr w:rsidR="005E16F7" w:rsidRPr="00A51E73" w14:paraId="3E34A151" w14:textId="77777777" w:rsidTr="005E16F7">
        <w:trPr>
          <w:trHeight w:val="765"/>
        </w:trPr>
        <w:tc>
          <w:tcPr>
            <w:tcW w:w="5000" w:type="pct"/>
            <w:gridSpan w:val="2"/>
            <w:shd w:val="clear" w:color="auto" w:fill="FBE4D5" w:themeFill="accent2" w:themeFillTint="33"/>
            <w:vAlign w:val="center"/>
          </w:tcPr>
          <w:p w14:paraId="6927FD7D" w14:textId="4D09E5D8" w:rsidR="005E16F7" w:rsidRPr="00A51E73" w:rsidRDefault="005E16F7" w:rsidP="009C2144">
            <w:pPr>
              <w:spacing w:after="0" w:line="240" w:lineRule="auto"/>
              <w:jc w:val="center"/>
              <w:rPr>
                <w:rFonts w:ascii="Calibri" w:eastAsia="Times New Roman" w:hAnsi="Calibri" w:cs="Calibri"/>
                <w:color w:val="000000"/>
                <w:kern w:val="0"/>
                <w:sz w:val="24"/>
                <w:szCs w:val="24"/>
                <w:lang w:eastAsia="pt-BR"/>
              </w:rPr>
            </w:pPr>
            <w:r w:rsidRPr="00A51E73">
              <w:rPr>
                <w:rFonts w:ascii="Calibri" w:eastAsia="Times New Roman" w:hAnsi="Calibri" w:cs="Calibri"/>
                <w:b/>
                <w:bCs/>
                <w:kern w:val="0"/>
                <w:sz w:val="24"/>
                <w:szCs w:val="24"/>
                <w:lang w:eastAsia="pt-BR"/>
              </w:rPr>
              <w:t xml:space="preserve">LEVANTAMENTO DA ESTRUTURA DE CONTROLE INTERNO NO PROCESSO DE PRESTAÇÃO DE CONTAS </w:t>
            </w:r>
            <w:r>
              <w:rPr>
                <w:rFonts w:ascii="Calibri" w:eastAsia="Times New Roman" w:hAnsi="Calibri" w:cs="Calibri"/>
                <w:b/>
                <w:bCs/>
                <w:kern w:val="0"/>
                <w:sz w:val="24"/>
                <w:szCs w:val="24"/>
                <w:lang w:eastAsia="pt-BR"/>
              </w:rPr>
              <w:t xml:space="preserve">DAS </w:t>
            </w:r>
            <w:r w:rsidRPr="00A51E73">
              <w:rPr>
                <w:rFonts w:ascii="Calibri" w:eastAsia="Times New Roman" w:hAnsi="Calibri" w:cs="Calibri"/>
                <w:b/>
                <w:bCs/>
                <w:kern w:val="0"/>
                <w:sz w:val="24"/>
                <w:szCs w:val="24"/>
                <w:lang w:eastAsia="pt-BR"/>
              </w:rPr>
              <w:t>ENTIDADES</w:t>
            </w:r>
          </w:p>
        </w:tc>
      </w:tr>
      <w:tr w:rsidR="005E16F7" w:rsidRPr="00A51E73" w14:paraId="52345D80" w14:textId="77777777" w:rsidTr="005E16F7">
        <w:trPr>
          <w:trHeight w:val="765"/>
        </w:trPr>
        <w:tc>
          <w:tcPr>
            <w:tcW w:w="5000" w:type="pct"/>
            <w:gridSpan w:val="2"/>
            <w:shd w:val="clear" w:color="auto" w:fill="9CC2E5" w:themeFill="accent1" w:themeFillTint="99"/>
            <w:vAlign w:val="center"/>
          </w:tcPr>
          <w:p w14:paraId="03D9B654" w14:textId="5DA95BCF" w:rsidR="005E16F7" w:rsidRPr="00A51E73" w:rsidRDefault="005E16F7" w:rsidP="009C2144">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Componente de Controle Interno</w:t>
            </w:r>
            <w:r w:rsidRPr="005E16F7">
              <w:rPr>
                <w:rFonts w:ascii="Calibri" w:eastAsia="Times New Roman" w:hAnsi="Calibri" w:cs="Calibri"/>
                <w:b/>
                <w:bCs/>
                <w:color w:val="000000"/>
                <w:kern w:val="0"/>
                <w:sz w:val="24"/>
                <w:szCs w:val="24"/>
                <w:lang w:eastAsia="pt-BR"/>
              </w:rPr>
              <w:t xml:space="preserve">: </w:t>
            </w:r>
            <w:r w:rsidRPr="00A51E73">
              <w:rPr>
                <w:rFonts w:ascii="Calibri" w:eastAsia="Times New Roman" w:hAnsi="Calibri" w:cs="Calibri"/>
                <w:i/>
                <w:iCs/>
                <w:color w:val="000000"/>
                <w:kern w:val="0"/>
                <w:sz w:val="32"/>
                <w:szCs w:val="32"/>
                <w:lang w:eastAsia="pt-BR"/>
              </w:rPr>
              <w:t>Ambiente de Controle</w:t>
            </w:r>
          </w:p>
        </w:tc>
      </w:tr>
      <w:tr w:rsidR="005E16F7" w:rsidRPr="005E16F7" w14:paraId="2568414A" w14:textId="77777777" w:rsidTr="005E16F7">
        <w:trPr>
          <w:trHeight w:val="765"/>
        </w:trPr>
        <w:tc>
          <w:tcPr>
            <w:tcW w:w="1374" w:type="pct"/>
            <w:vMerge w:val="restart"/>
            <w:shd w:val="clear" w:color="000000" w:fill="D9D9D9"/>
            <w:vAlign w:val="center"/>
          </w:tcPr>
          <w:p w14:paraId="19492BC2" w14:textId="56B2066D" w:rsidR="005E16F7" w:rsidRPr="00A51E73" w:rsidRDefault="005E16F7" w:rsidP="005E16F7">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Item avaliado</w:t>
            </w:r>
          </w:p>
        </w:tc>
        <w:tc>
          <w:tcPr>
            <w:tcW w:w="3626" w:type="pct"/>
            <w:vMerge w:val="restart"/>
            <w:shd w:val="clear" w:color="000000" w:fill="D9D9D9"/>
            <w:vAlign w:val="center"/>
          </w:tcPr>
          <w:p w14:paraId="272083AD" w14:textId="06AD5BF1" w:rsidR="005E16F7" w:rsidRPr="00A51E73" w:rsidRDefault="005E16F7" w:rsidP="005E16F7">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Verificação do componente</w:t>
            </w:r>
          </w:p>
        </w:tc>
      </w:tr>
      <w:tr w:rsidR="005E16F7" w:rsidRPr="00A51E73" w14:paraId="5202E366" w14:textId="77777777" w:rsidTr="00B54BF0">
        <w:trPr>
          <w:trHeight w:val="269"/>
        </w:trPr>
        <w:tc>
          <w:tcPr>
            <w:tcW w:w="1374" w:type="pct"/>
            <w:vMerge/>
            <w:vAlign w:val="center"/>
          </w:tcPr>
          <w:p w14:paraId="56024780" w14:textId="77777777" w:rsidR="005E16F7" w:rsidRPr="00A51E73" w:rsidRDefault="005E16F7" w:rsidP="005E16F7">
            <w:pPr>
              <w:spacing w:after="0" w:line="240" w:lineRule="auto"/>
              <w:rPr>
                <w:rFonts w:ascii="Calibri" w:eastAsia="Times New Roman" w:hAnsi="Calibri" w:cs="Calibri"/>
                <w:b/>
                <w:bCs/>
                <w:color w:val="000000"/>
                <w:kern w:val="0"/>
                <w:lang w:eastAsia="pt-BR"/>
              </w:rPr>
            </w:pPr>
          </w:p>
        </w:tc>
        <w:tc>
          <w:tcPr>
            <w:tcW w:w="3626" w:type="pct"/>
            <w:vMerge/>
            <w:vAlign w:val="center"/>
          </w:tcPr>
          <w:p w14:paraId="307DD331" w14:textId="77777777" w:rsidR="005E16F7" w:rsidRPr="00A51E73" w:rsidRDefault="005E16F7" w:rsidP="005E16F7">
            <w:pPr>
              <w:spacing w:after="0" w:line="240" w:lineRule="auto"/>
              <w:rPr>
                <w:rFonts w:ascii="Calibri" w:eastAsia="Times New Roman" w:hAnsi="Calibri" w:cs="Calibri"/>
                <w:b/>
                <w:bCs/>
                <w:color w:val="000000"/>
                <w:kern w:val="0"/>
                <w:sz w:val="20"/>
                <w:szCs w:val="20"/>
                <w:lang w:eastAsia="pt-BR"/>
              </w:rPr>
            </w:pPr>
          </w:p>
        </w:tc>
      </w:tr>
      <w:tr w:rsidR="005E16F7" w:rsidRPr="00A51E73" w14:paraId="2CDB02B3" w14:textId="77777777" w:rsidTr="00B54BF0">
        <w:trPr>
          <w:trHeight w:val="2251"/>
        </w:trPr>
        <w:tc>
          <w:tcPr>
            <w:tcW w:w="1374" w:type="pct"/>
            <w:shd w:val="clear" w:color="auto" w:fill="auto"/>
            <w:vAlign w:val="center"/>
            <w:hideMark/>
          </w:tcPr>
          <w:p w14:paraId="08342AFE"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Integridade e valores éticos</w:t>
            </w:r>
          </w:p>
        </w:tc>
        <w:tc>
          <w:tcPr>
            <w:tcW w:w="3626" w:type="pct"/>
            <w:shd w:val="clear" w:color="auto" w:fill="auto"/>
            <w:vAlign w:val="center"/>
            <w:hideMark/>
          </w:tcPr>
          <w:p w14:paraId="5461FABC" w14:textId="0CB61A80"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A prefeitura do Rio possui Código de Integridade do Agente Público aplicável a todo o poder executivo municipal, instituído por meio do Decreto Rio nº 50.021/21. Possui Secretaria</w:t>
            </w:r>
            <w:r>
              <w:rPr>
                <w:rFonts w:ascii="Calibri" w:eastAsia="Times New Roman" w:hAnsi="Calibri" w:cs="Calibri"/>
                <w:color w:val="000000"/>
                <w:kern w:val="0"/>
                <w:lang w:eastAsia="pt-BR"/>
              </w:rPr>
              <w:t xml:space="preserve"> Municipal </w:t>
            </w:r>
            <w:r w:rsidRPr="00A51E73">
              <w:rPr>
                <w:rFonts w:ascii="Calibri" w:eastAsia="Times New Roman" w:hAnsi="Calibri" w:cs="Calibri"/>
                <w:color w:val="000000"/>
                <w:kern w:val="0"/>
                <w:lang w:eastAsia="pt-BR"/>
              </w:rPr>
              <w:t xml:space="preserve">com atribuição de estabelecer e divulgar normas, diretrizes e procedimentos referentes às atividades de ambiente ético e prevenção de condutas antiéticas, fundamentados na legislação vigente, e de fornecer informações, treinamento e orientação para que os servidores públicos adotem padrões de integridade no local de trabalho. </w:t>
            </w:r>
          </w:p>
        </w:tc>
      </w:tr>
      <w:tr w:rsidR="005E16F7" w:rsidRPr="00A51E73" w14:paraId="0BC09A77" w14:textId="77777777" w:rsidTr="00B54BF0">
        <w:trPr>
          <w:trHeight w:val="2526"/>
        </w:trPr>
        <w:tc>
          <w:tcPr>
            <w:tcW w:w="1374" w:type="pct"/>
            <w:shd w:val="clear" w:color="auto" w:fill="auto"/>
            <w:vAlign w:val="center"/>
            <w:hideMark/>
          </w:tcPr>
          <w:p w14:paraId="3E4F9535"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Supervisão do desenvolvimento e desempenho dos controles internos</w:t>
            </w:r>
          </w:p>
        </w:tc>
        <w:tc>
          <w:tcPr>
            <w:tcW w:w="3626" w:type="pct"/>
            <w:shd w:val="clear" w:color="auto" w:fill="auto"/>
            <w:vAlign w:val="center"/>
            <w:hideMark/>
          </w:tcPr>
          <w:p w14:paraId="0E1BDC83" w14:textId="754ED891"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A alta administração/gestor responsável demonstra seu compromisso com os controles no processo de prestação de contas da gestão por meio de ações como o fornecimento de todas as informações necessárias para a prestação de contas, a prontidão em sanar as inconsistências apontadas pela auditoria e a complementação de informações, quando necessário. </w:t>
            </w:r>
            <w:r>
              <w:rPr>
                <w:rFonts w:ascii="Calibri" w:eastAsia="Times New Roman" w:hAnsi="Calibri" w:cs="Calibri"/>
                <w:color w:val="000000"/>
                <w:kern w:val="0"/>
                <w:lang w:eastAsia="pt-BR"/>
              </w:rPr>
              <w:t xml:space="preserve">Todos </w:t>
            </w:r>
            <w:r w:rsidRPr="00A51E73">
              <w:rPr>
                <w:rFonts w:ascii="Calibri" w:eastAsia="Times New Roman" w:hAnsi="Calibri" w:cs="Calibri"/>
                <w:color w:val="000000"/>
                <w:kern w:val="0"/>
                <w:lang w:eastAsia="pt-BR"/>
              </w:rPr>
              <w:t>os órgãos e entidades apresentam suas prestações de contas à Auditoria Geral para fins de certificação</w:t>
            </w:r>
            <w:r>
              <w:rPr>
                <w:rFonts w:ascii="Calibri" w:eastAsia="Times New Roman" w:hAnsi="Calibri" w:cs="Calibri"/>
                <w:color w:val="000000"/>
                <w:kern w:val="0"/>
                <w:lang w:eastAsia="pt-BR"/>
              </w:rPr>
              <w:t>, sendo esse um procedimento já bem estabelecido ao longo dos últimos 1</w:t>
            </w:r>
            <w:r w:rsidR="00B54BF0">
              <w:rPr>
                <w:rFonts w:ascii="Calibri" w:eastAsia="Times New Roman" w:hAnsi="Calibri" w:cs="Calibri"/>
                <w:color w:val="000000"/>
                <w:kern w:val="0"/>
                <w:lang w:eastAsia="pt-BR"/>
              </w:rPr>
              <w:t>5</w:t>
            </w:r>
            <w:r>
              <w:rPr>
                <w:rFonts w:ascii="Calibri" w:eastAsia="Times New Roman" w:hAnsi="Calibri" w:cs="Calibri"/>
                <w:color w:val="000000"/>
                <w:kern w:val="0"/>
                <w:lang w:eastAsia="pt-BR"/>
              </w:rPr>
              <w:t xml:space="preserve"> anos. </w:t>
            </w:r>
          </w:p>
        </w:tc>
      </w:tr>
      <w:tr w:rsidR="005E16F7" w:rsidRPr="00A51E73" w14:paraId="759FDD42" w14:textId="77777777" w:rsidTr="00B54BF0">
        <w:trPr>
          <w:trHeight w:val="2836"/>
        </w:trPr>
        <w:tc>
          <w:tcPr>
            <w:tcW w:w="1374" w:type="pct"/>
            <w:shd w:val="clear" w:color="auto" w:fill="auto"/>
            <w:vAlign w:val="center"/>
            <w:hideMark/>
          </w:tcPr>
          <w:p w14:paraId="4D6EB98A"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lastRenderedPageBreak/>
              <w:t xml:space="preserve">Estrutura de competências e responsabilidades </w:t>
            </w:r>
          </w:p>
        </w:tc>
        <w:tc>
          <w:tcPr>
            <w:tcW w:w="3626" w:type="pct"/>
            <w:shd w:val="clear" w:color="auto" w:fill="auto"/>
            <w:vAlign w:val="center"/>
            <w:hideMark/>
          </w:tcPr>
          <w:p w14:paraId="2BD0CAC3" w14:textId="3AF94EB0"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Cada participante do processo tem suas atribuições e responsabilidades para que o processo seja executado corretamente e no prazo. (Órgão Central de Controle Interno - Lei Orgânica, Art. 96, Órgão de Controle Externo - Lei Orgânica, Art. 88, inciso II, Órgãos e Entidades - Lei Orgânica, Art. 87, Parágrafo Único). A prestação de contas da gestão anual é um processo bem definido e que se repete anualmente, com as competências e responsabilidade já bem estabelecidas. O fluxograma do processo encontra-se </w:t>
            </w:r>
            <w:r w:rsidR="00B54BF0">
              <w:rPr>
                <w:rFonts w:ascii="Calibri" w:eastAsia="Times New Roman" w:hAnsi="Calibri" w:cs="Calibri"/>
                <w:color w:val="000000"/>
                <w:kern w:val="0"/>
                <w:lang w:eastAsia="pt-BR"/>
              </w:rPr>
              <w:t>já desenhado pela Auditoria Geral</w:t>
            </w:r>
            <w:r w:rsidRPr="00A51E73">
              <w:rPr>
                <w:rFonts w:ascii="Calibri" w:eastAsia="Times New Roman" w:hAnsi="Calibri" w:cs="Calibri"/>
                <w:color w:val="000000"/>
                <w:kern w:val="0"/>
                <w:lang w:eastAsia="pt-BR"/>
              </w:rPr>
              <w:t xml:space="preserve">. Além disso, na composição do processo de prestação de contas é </w:t>
            </w:r>
            <w:r w:rsidR="00B54BF0">
              <w:rPr>
                <w:rFonts w:ascii="Calibri" w:eastAsia="Times New Roman" w:hAnsi="Calibri" w:cs="Calibri"/>
                <w:color w:val="000000"/>
                <w:kern w:val="0"/>
                <w:lang w:eastAsia="pt-BR"/>
              </w:rPr>
              <w:t>exigida peça</w:t>
            </w:r>
            <w:r w:rsidRPr="00A51E73">
              <w:rPr>
                <w:rFonts w:ascii="Calibri" w:eastAsia="Times New Roman" w:hAnsi="Calibri" w:cs="Calibri"/>
                <w:color w:val="000000"/>
                <w:kern w:val="0"/>
                <w:lang w:eastAsia="pt-BR"/>
              </w:rPr>
              <w:t xml:space="preserve"> obrigatóri</w:t>
            </w:r>
            <w:r w:rsidR="00B54BF0">
              <w:rPr>
                <w:rFonts w:ascii="Calibri" w:eastAsia="Times New Roman" w:hAnsi="Calibri" w:cs="Calibri"/>
                <w:color w:val="000000"/>
                <w:kern w:val="0"/>
                <w:lang w:eastAsia="pt-BR"/>
              </w:rPr>
              <w:t>a com o</w:t>
            </w:r>
            <w:r w:rsidRPr="00A51E73">
              <w:rPr>
                <w:rFonts w:ascii="Calibri" w:eastAsia="Times New Roman" w:hAnsi="Calibri" w:cs="Calibri"/>
                <w:color w:val="000000"/>
                <w:kern w:val="0"/>
                <w:lang w:eastAsia="pt-BR"/>
              </w:rPr>
              <w:t xml:space="preserve"> rol de responsáveis </w:t>
            </w:r>
            <w:r w:rsidR="00B54BF0">
              <w:rPr>
                <w:rFonts w:ascii="Calibri" w:eastAsia="Times New Roman" w:hAnsi="Calibri" w:cs="Calibri"/>
                <w:color w:val="000000"/>
                <w:kern w:val="0"/>
                <w:lang w:eastAsia="pt-BR"/>
              </w:rPr>
              <w:t>da</w:t>
            </w:r>
            <w:r w:rsidRPr="00A51E73">
              <w:rPr>
                <w:rFonts w:ascii="Calibri" w:eastAsia="Times New Roman" w:hAnsi="Calibri" w:cs="Calibri"/>
                <w:color w:val="000000"/>
                <w:kern w:val="0"/>
                <w:lang w:eastAsia="pt-BR"/>
              </w:rPr>
              <w:t xml:space="preserve"> entidade. </w:t>
            </w:r>
          </w:p>
        </w:tc>
      </w:tr>
      <w:tr w:rsidR="005E16F7" w:rsidRPr="00A51E73" w14:paraId="2D24CEC2" w14:textId="77777777" w:rsidTr="00B54BF0">
        <w:trPr>
          <w:trHeight w:val="1290"/>
        </w:trPr>
        <w:tc>
          <w:tcPr>
            <w:tcW w:w="1374" w:type="pct"/>
            <w:shd w:val="clear" w:color="auto" w:fill="auto"/>
            <w:vAlign w:val="center"/>
            <w:hideMark/>
          </w:tcPr>
          <w:p w14:paraId="190190E2"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Compromisso com o desenvolvimento de competências</w:t>
            </w:r>
          </w:p>
        </w:tc>
        <w:tc>
          <w:tcPr>
            <w:tcW w:w="3626" w:type="pct"/>
            <w:shd w:val="clear" w:color="auto" w:fill="auto"/>
            <w:vAlign w:val="center"/>
            <w:hideMark/>
          </w:tcPr>
          <w:p w14:paraId="6C1FDA4F" w14:textId="7D344E5F"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A cada ciclo do processo de prestação de contas da gestão são programadas reuniões orientadoras com </w:t>
            </w:r>
            <w:r w:rsidR="00B54BF0">
              <w:rPr>
                <w:rFonts w:ascii="Calibri" w:eastAsia="Times New Roman" w:hAnsi="Calibri" w:cs="Calibri"/>
                <w:color w:val="000000"/>
                <w:kern w:val="0"/>
                <w:lang w:eastAsia="pt-BR"/>
              </w:rPr>
              <w:t>as entidades</w:t>
            </w:r>
            <w:r w:rsidRPr="00A51E73">
              <w:rPr>
                <w:rFonts w:ascii="Calibri" w:eastAsia="Times New Roman" w:hAnsi="Calibri" w:cs="Calibri"/>
                <w:color w:val="000000"/>
                <w:kern w:val="0"/>
                <w:lang w:eastAsia="pt-BR"/>
              </w:rPr>
              <w:t xml:space="preserve"> a fim de apresentar a estrutura do trabalho e as instruções para execução de todo o processo. </w:t>
            </w:r>
          </w:p>
        </w:tc>
      </w:tr>
      <w:tr w:rsidR="005E16F7" w:rsidRPr="00A51E73" w14:paraId="694A1E93" w14:textId="77777777" w:rsidTr="009C2144">
        <w:trPr>
          <w:trHeight w:val="765"/>
        </w:trPr>
        <w:tc>
          <w:tcPr>
            <w:tcW w:w="5000" w:type="pct"/>
            <w:gridSpan w:val="2"/>
            <w:shd w:val="clear" w:color="auto" w:fill="9CC2E5" w:themeFill="accent1" w:themeFillTint="99"/>
            <w:vAlign w:val="center"/>
          </w:tcPr>
          <w:p w14:paraId="7FF15B57" w14:textId="4D8EA02E" w:rsidR="005E16F7" w:rsidRPr="00A51E73" w:rsidRDefault="005E16F7" w:rsidP="009C2144">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Componente de Controle Interno</w:t>
            </w:r>
            <w:r w:rsidRPr="005E16F7">
              <w:rPr>
                <w:rFonts w:ascii="Calibri" w:eastAsia="Times New Roman" w:hAnsi="Calibri" w:cs="Calibri"/>
                <w:b/>
                <w:bCs/>
                <w:color w:val="000000"/>
                <w:kern w:val="0"/>
                <w:sz w:val="24"/>
                <w:szCs w:val="24"/>
                <w:lang w:eastAsia="pt-BR"/>
              </w:rPr>
              <w:t xml:space="preserve">: </w:t>
            </w:r>
            <w:r w:rsidRPr="00A51E73">
              <w:rPr>
                <w:rFonts w:ascii="Calibri" w:eastAsia="Times New Roman" w:hAnsi="Calibri" w:cs="Calibri"/>
                <w:i/>
                <w:iCs/>
                <w:color w:val="000000"/>
                <w:kern w:val="0"/>
                <w:sz w:val="32"/>
                <w:szCs w:val="32"/>
                <w:lang w:eastAsia="pt-BR"/>
              </w:rPr>
              <w:t>Avaliação de riscos</w:t>
            </w:r>
          </w:p>
        </w:tc>
      </w:tr>
      <w:tr w:rsidR="005E16F7" w:rsidRPr="00A51E73" w14:paraId="52E698CE" w14:textId="77777777" w:rsidTr="00B54BF0">
        <w:trPr>
          <w:trHeight w:val="925"/>
        </w:trPr>
        <w:tc>
          <w:tcPr>
            <w:tcW w:w="1374" w:type="pct"/>
            <w:shd w:val="clear" w:color="auto" w:fill="auto"/>
            <w:vAlign w:val="center"/>
            <w:hideMark/>
          </w:tcPr>
          <w:p w14:paraId="01F2D3A1"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Mapeamento dos riscos </w:t>
            </w:r>
          </w:p>
        </w:tc>
        <w:tc>
          <w:tcPr>
            <w:tcW w:w="3626" w:type="pct"/>
            <w:shd w:val="clear" w:color="auto" w:fill="auto"/>
            <w:vAlign w:val="center"/>
            <w:hideMark/>
          </w:tcPr>
          <w:p w14:paraId="5BAD715F" w14:textId="24649E24"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Os riscos do processo de prestação de contas, bem como suas possíveis causas e consequências, estão mapeados </w:t>
            </w:r>
            <w:r w:rsidR="00B54BF0">
              <w:rPr>
                <w:rFonts w:ascii="Calibri" w:eastAsia="Times New Roman" w:hAnsi="Calibri" w:cs="Calibri"/>
                <w:color w:val="000000"/>
                <w:kern w:val="0"/>
                <w:lang w:eastAsia="pt-BR"/>
              </w:rPr>
              <w:t>na</w:t>
            </w:r>
            <w:r w:rsidRPr="00A51E73">
              <w:rPr>
                <w:rFonts w:ascii="Calibri" w:eastAsia="Times New Roman" w:hAnsi="Calibri" w:cs="Calibri"/>
                <w:color w:val="000000"/>
                <w:kern w:val="0"/>
                <w:lang w:eastAsia="pt-BR"/>
              </w:rPr>
              <w:t xml:space="preserve"> Matriz de riscos e controles</w:t>
            </w:r>
            <w:r w:rsidR="00B54BF0">
              <w:rPr>
                <w:rFonts w:ascii="Calibri" w:eastAsia="Times New Roman" w:hAnsi="Calibri" w:cs="Calibri"/>
                <w:color w:val="000000"/>
                <w:kern w:val="0"/>
                <w:lang w:eastAsia="pt-BR"/>
              </w:rPr>
              <w:t xml:space="preserve"> elaborada pela auditoria</w:t>
            </w:r>
            <w:r w:rsidRPr="00A51E73">
              <w:rPr>
                <w:rFonts w:ascii="Calibri" w:eastAsia="Times New Roman" w:hAnsi="Calibri" w:cs="Calibri"/>
                <w:color w:val="000000"/>
                <w:kern w:val="0"/>
                <w:lang w:eastAsia="pt-BR"/>
              </w:rPr>
              <w:t>.</w:t>
            </w:r>
          </w:p>
        </w:tc>
      </w:tr>
      <w:tr w:rsidR="005E16F7" w:rsidRPr="00A51E73" w14:paraId="19F61692" w14:textId="77777777" w:rsidTr="00B54BF0">
        <w:trPr>
          <w:trHeight w:val="2861"/>
        </w:trPr>
        <w:tc>
          <w:tcPr>
            <w:tcW w:w="1374" w:type="pct"/>
            <w:shd w:val="clear" w:color="auto" w:fill="auto"/>
            <w:vAlign w:val="center"/>
            <w:hideMark/>
          </w:tcPr>
          <w:p w14:paraId="35D4608E"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Análise e priorização</w:t>
            </w:r>
          </w:p>
        </w:tc>
        <w:tc>
          <w:tcPr>
            <w:tcW w:w="3626" w:type="pct"/>
            <w:shd w:val="clear" w:color="auto" w:fill="auto"/>
            <w:vAlign w:val="center"/>
            <w:hideMark/>
          </w:tcPr>
          <w:p w14:paraId="2F88EA0C" w14:textId="6DE092A7"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Com base na matriz de riscos da Auditoria Geral e nos principais documentos exigidos na prestação de contas anual da gestão </w:t>
            </w:r>
            <w:r w:rsidR="00B54BF0">
              <w:rPr>
                <w:rFonts w:ascii="Calibri" w:eastAsia="Times New Roman" w:hAnsi="Calibri" w:cs="Calibri"/>
                <w:color w:val="000000"/>
                <w:kern w:val="0"/>
                <w:lang w:eastAsia="pt-BR"/>
              </w:rPr>
              <w:t>são</w:t>
            </w:r>
            <w:r w:rsidRPr="00A51E73">
              <w:rPr>
                <w:rFonts w:ascii="Calibri" w:eastAsia="Times New Roman" w:hAnsi="Calibri" w:cs="Calibri"/>
                <w:color w:val="000000"/>
                <w:kern w:val="0"/>
                <w:lang w:eastAsia="pt-BR"/>
              </w:rPr>
              <w:t xml:space="preserve"> observados a materialidade dos recursos aplicados </w:t>
            </w:r>
            <w:r w:rsidR="00B54BF0">
              <w:rPr>
                <w:rFonts w:ascii="Calibri" w:eastAsia="Times New Roman" w:hAnsi="Calibri" w:cs="Calibri"/>
                <w:color w:val="000000"/>
                <w:kern w:val="0"/>
                <w:lang w:eastAsia="pt-BR"/>
              </w:rPr>
              <w:t>pelas</w:t>
            </w:r>
            <w:r w:rsidRPr="00A51E73">
              <w:rPr>
                <w:rFonts w:ascii="Calibri" w:eastAsia="Times New Roman" w:hAnsi="Calibri" w:cs="Calibri"/>
                <w:color w:val="000000"/>
                <w:kern w:val="0"/>
                <w:lang w:eastAsia="pt-BR"/>
              </w:rPr>
              <w:t xml:space="preserve"> entidades, o impacto no cidadão, o comprometimento dos gestores, o tipo de certificado de auditoria nas contas da gestão em exercícios anteriores, o volume de recursos aplicados em contratos de gestão e parcerias voluntárias, o volume de recursos aplicados em sistema descentralizado de pagamento, de forma a selecionar e priorizar os testes conforme a vulnerabilidade e exposição a riscos </w:t>
            </w:r>
            <w:r w:rsidR="00B54BF0">
              <w:rPr>
                <w:rFonts w:ascii="Calibri" w:eastAsia="Times New Roman" w:hAnsi="Calibri" w:cs="Calibri"/>
                <w:color w:val="000000"/>
                <w:kern w:val="0"/>
                <w:lang w:eastAsia="pt-BR"/>
              </w:rPr>
              <w:t>das</w:t>
            </w:r>
            <w:r w:rsidRPr="00A51E73">
              <w:rPr>
                <w:rFonts w:ascii="Calibri" w:eastAsia="Times New Roman" w:hAnsi="Calibri" w:cs="Calibri"/>
                <w:color w:val="000000"/>
                <w:kern w:val="0"/>
                <w:lang w:eastAsia="pt-BR"/>
              </w:rPr>
              <w:t xml:space="preserve"> entidades. </w:t>
            </w:r>
          </w:p>
        </w:tc>
      </w:tr>
      <w:tr w:rsidR="005E16F7" w:rsidRPr="00A51E73" w14:paraId="75C4B304" w14:textId="77777777" w:rsidTr="009C2144">
        <w:trPr>
          <w:trHeight w:val="765"/>
        </w:trPr>
        <w:tc>
          <w:tcPr>
            <w:tcW w:w="5000" w:type="pct"/>
            <w:gridSpan w:val="2"/>
            <w:shd w:val="clear" w:color="auto" w:fill="9CC2E5" w:themeFill="accent1" w:themeFillTint="99"/>
            <w:vAlign w:val="center"/>
          </w:tcPr>
          <w:p w14:paraId="11B2070A" w14:textId="678118BA" w:rsidR="005E16F7" w:rsidRPr="00A51E73" w:rsidRDefault="005E16F7" w:rsidP="009C2144">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Componente de Controle Interno</w:t>
            </w:r>
            <w:r w:rsidRPr="005E16F7">
              <w:rPr>
                <w:rFonts w:ascii="Calibri" w:eastAsia="Times New Roman" w:hAnsi="Calibri" w:cs="Calibri"/>
                <w:b/>
                <w:bCs/>
                <w:color w:val="000000"/>
                <w:kern w:val="0"/>
                <w:sz w:val="24"/>
                <w:szCs w:val="24"/>
                <w:lang w:eastAsia="pt-BR"/>
              </w:rPr>
              <w:t xml:space="preserve">: </w:t>
            </w:r>
            <w:r w:rsidRPr="00A51E73">
              <w:rPr>
                <w:rFonts w:ascii="Calibri" w:eastAsia="Times New Roman" w:hAnsi="Calibri" w:cs="Calibri"/>
                <w:i/>
                <w:iCs/>
                <w:color w:val="000000"/>
                <w:kern w:val="0"/>
                <w:sz w:val="32"/>
                <w:szCs w:val="32"/>
                <w:lang w:eastAsia="pt-BR"/>
              </w:rPr>
              <w:t>Atividades de Controle</w:t>
            </w:r>
          </w:p>
        </w:tc>
      </w:tr>
      <w:tr w:rsidR="005E16F7" w:rsidRPr="00A51E73" w14:paraId="38032E57" w14:textId="77777777" w:rsidTr="00B54BF0">
        <w:trPr>
          <w:trHeight w:val="2718"/>
        </w:trPr>
        <w:tc>
          <w:tcPr>
            <w:tcW w:w="1374" w:type="pct"/>
            <w:shd w:val="clear" w:color="auto" w:fill="auto"/>
            <w:vAlign w:val="center"/>
            <w:hideMark/>
          </w:tcPr>
          <w:p w14:paraId="16DAD890"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Desenvolvimento e implementação de atividades de controle</w:t>
            </w:r>
          </w:p>
        </w:tc>
        <w:tc>
          <w:tcPr>
            <w:tcW w:w="3626" w:type="pct"/>
            <w:shd w:val="clear" w:color="auto" w:fill="auto"/>
            <w:vAlign w:val="center"/>
            <w:hideMark/>
          </w:tcPr>
          <w:p w14:paraId="3B5B410F" w14:textId="77777777" w:rsidR="00B54BF0"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Controles estabelecidos no processo de prestação de contas da gestão: </w:t>
            </w:r>
            <w:r w:rsidRPr="00A51E73">
              <w:rPr>
                <w:rFonts w:ascii="Calibri" w:eastAsia="Times New Roman" w:hAnsi="Calibri" w:cs="Calibri"/>
                <w:color w:val="000000"/>
                <w:kern w:val="0"/>
                <w:lang w:eastAsia="pt-BR"/>
              </w:rPr>
              <w:br/>
              <w:t>1 - Publicação de Instrução Normativa pelo TCM, determinando as peças processuais obrigatórias e o conteúdo mínimo;</w:t>
            </w:r>
            <w:r w:rsidRPr="00A51E73">
              <w:rPr>
                <w:rFonts w:ascii="Calibri" w:eastAsia="Times New Roman" w:hAnsi="Calibri" w:cs="Calibri"/>
                <w:color w:val="000000"/>
                <w:kern w:val="0"/>
                <w:lang w:eastAsia="pt-BR"/>
              </w:rPr>
              <w:br/>
              <w:t>2 - Publicação de Resolução pela CGM, determinando o formato e o conteúdo obrigatório das peças processuais estabelecidas pelo TCM;</w:t>
            </w:r>
            <w:r w:rsidRPr="00A51E73">
              <w:rPr>
                <w:rFonts w:ascii="Calibri" w:eastAsia="Times New Roman" w:hAnsi="Calibri" w:cs="Calibri"/>
                <w:color w:val="000000"/>
                <w:kern w:val="0"/>
                <w:lang w:eastAsia="pt-BR"/>
              </w:rPr>
              <w:br/>
              <w:t>3 - Reunião de orientação aos órgãos e entidades sobre a elaboração da Prestação de Contas da Gestão;</w:t>
            </w:r>
          </w:p>
          <w:p w14:paraId="64B2C81A" w14:textId="23BF5FA5"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4 - </w:t>
            </w:r>
            <w:proofErr w:type="spellStart"/>
            <w:r w:rsidRPr="00A51E73">
              <w:rPr>
                <w:rFonts w:ascii="Calibri" w:eastAsia="Times New Roman" w:hAnsi="Calibri" w:cs="Calibri"/>
                <w:color w:val="000000"/>
                <w:kern w:val="0"/>
                <w:lang w:eastAsia="pt-BR"/>
              </w:rPr>
              <w:t>Check</w:t>
            </w:r>
            <w:proofErr w:type="spellEnd"/>
            <w:r w:rsidRPr="00A51E73">
              <w:rPr>
                <w:rFonts w:ascii="Calibri" w:eastAsia="Times New Roman" w:hAnsi="Calibri" w:cs="Calibri"/>
                <w:color w:val="000000"/>
                <w:kern w:val="0"/>
                <w:lang w:eastAsia="pt-BR"/>
              </w:rPr>
              <w:t xml:space="preserve"> </w:t>
            </w:r>
            <w:proofErr w:type="spellStart"/>
            <w:r w:rsidRPr="00A51E73">
              <w:rPr>
                <w:rFonts w:ascii="Calibri" w:eastAsia="Times New Roman" w:hAnsi="Calibri" w:cs="Calibri"/>
                <w:color w:val="000000"/>
                <w:kern w:val="0"/>
                <w:lang w:eastAsia="pt-BR"/>
              </w:rPr>
              <w:t>list</w:t>
            </w:r>
            <w:proofErr w:type="spellEnd"/>
            <w:r w:rsidRPr="00A51E73">
              <w:rPr>
                <w:rFonts w:ascii="Calibri" w:eastAsia="Times New Roman" w:hAnsi="Calibri" w:cs="Calibri"/>
                <w:color w:val="000000"/>
                <w:kern w:val="0"/>
                <w:lang w:eastAsia="pt-BR"/>
              </w:rPr>
              <w:t xml:space="preserve"> para verificação de toda documentação prevista</w:t>
            </w:r>
            <w:r w:rsidR="00B54BF0">
              <w:rPr>
                <w:rFonts w:ascii="Calibri" w:eastAsia="Times New Roman" w:hAnsi="Calibri" w:cs="Calibri"/>
                <w:color w:val="000000"/>
                <w:kern w:val="0"/>
                <w:lang w:eastAsia="pt-BR"/>
              </w:rPr>
              <w:t>.</w:t>
            </w:r>
          </w:p>
        </w:tc>
      </w:tr>
      <w:tr w:rsidR="005E16F7" w:rsidRPr="00A51E73" w14:paraId="6D24ED17" w14:textId="77777777" w:rsidTr="00B54BF0">
        <w:trPr>
          <w:trHeight w:val="1561"/>
        </w:trPr>
        <w:tc>
          <w:tcPr>
            <w:tcW w:w="1374" w:type="pct"/>
            <w:shd w:val="clear" w:color="auto" w:fill="auto"/>
            <w:vAlign w:val="center"/>
            <w:hideMark/>
          </w:tcPr>
          <w:p w14:paraId="6F6A8A91"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lastRenderedPageBreak/>
              <w:t>Segregação de funções</w:t>
            </w:r>
          </w:p>
        </w:tc>
        <w:tc>
          <w:tcPr>
            <w:tcW w:w="3626" w:type="pct"/>
            <w:shd w:val="clear" w:color="auto" w:fill="auto"/>
            <w:vAlign w:val="center"/>
            <w:hideMark/>
          </w:tcPr>
          <w:p w14:paraId="6552DDC6" w14:textId="359AD06D"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 xml:space="preserve">O processo de prestação de contas da gestão envolve o Órgão Central de Controle Interno, Órgão de Controle Externo e </w:t>
            </w:r>
            <w:r w:rsidR="00B54BF0">
              <w:rPr>
                <w:rFonts w:ascii="Calibri" w:eastAsia="Times New Roman" w:hAnsi="Calibri" w:cs="Calibri"/>
                <w:color w:val="000000"/>
                <w:kern w:val="0"/>
                <w:lang w:eastAsia="pt-BR"/>
              </w:rPr>
              <w:t>as</w:t>
            </w:r>
            <w:r w:rsidRPr="00A51E73">
              <w:rPr>
                <w:rFonts w:ascii="Calibri" w:eastAsia="Times New Roman" w:hAnsi="Calibri" w:cs="Calibri"/>
                <w:color w:val="000000"/>
                <w:kern w:val="0"/>
                <w:lang w:eastAsia="pt-BR"/>
              </w:rPr>
              <w:t xml:space="preserve"> Entidades do Poder Executivo Municipal e é elaborado de forma que cada participante contribui com que é de sua competência. As responsabilidades estão segregadas no fluxograma do processo </w:t>
            </w:r>
            <w:r w:rsidR="00B54BF0">
              <w:rPr>
                <w:rFonts w:ascii="Calibri" w:eastAsia="Times New Roman" w:hAnsi="Calibri" w:cs="Calibri"/>
                <w:color w:val="000000"/>
                <w:kern w:val="0"/>
                <w:lang w:eastAsia="pt-BR"/>
              </w:rPr>
              <w:t>desenhado pela auditoria.</w:t>
            </w:r>
          </w:p>
        </w:tc>
      </w:tr>
      <w:tr w:rsidR="005E16F7" w:rsidRPr="00A51E73" w14:paraId="7220628D" w14:textId="77777777" w:rsidTr="009C2144">
        <w:trPr>
          <w:trHeight w:val="765"/>
        </w:trPr>
        <w:tc>
          <w:tcPr>
            <w:tcW w:w="5000" w:type="pct"/>
            <w:gridSpan w:val="2"/>
            <w:shd w:val="clear" w:color="auto" w:fill="9CC2E5" w:themeFill="accent1" w:themeFillTint="99"/>
            <w:vAlign w:val="center"/>
          </w:tcPr>
          <w:p w14:paraId="21025916" w14:textId="146089D2" w:rsidR="005E16F7" w:rsidRPr="00A51E73" w:rsidRDefault="005E16F7" w:rsidP="009C2144">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Componente de Controle Interno</w:t>
            </w:r>
            <w:r w:rsidRPr="005E16F7">
              <w:rPr>
                <w:rFonts w:ascii="Calibri" w:eastAsia="Times New Roman" w:hAnsi="Calibri" w:cs="Calibri"/>
                <w:b/>
                <w:bCs/>
                <w:color w:val="000000"/>
                <w:kern w:val="0"/>
                <w:sz w:val="24"/>
                <w:szCs w:val="24"/>
                <w:lang w:eastAsia="pt-BR"/>
              </w:rPr>
              <w:t xml:space="preserve">: </w:t>
            </w:r>
            <w:r w:rsidRPr="00A51E73">
              <w:rPr>
                <w:rFonts w:ascii="Calibri" w:eastAsia="Times New Roman" w:hAnsi="Calibri" w:cs="Calibri"/>
                <w:i/>
                <w:iCs/>
                <w:color w:val="000000"/>
                <w:kern w:val="0"/>
                <w:sz w:val="32"/>
                <w:szCs w:val="32"/>
                <w:lang w:eastAsia="pt-BR"/>
              </w:rPr>
              <w:t>Informação e comunicação</w:t>
            </w:r>
          </w:p>
        </w:tc>
      </w:tr>
      <w:tr w:rsidR="005E16F7" w:rsidRPr="00A51E73" w14:paraId="3882E64C" w14:textId="77777777" w:rsidTr="00B54BF0">
        <w:trPr>
          <w:trHeight w:val="1863"/>
        </w:trPr>
        <w:tc>
          <w:tcPr>
            <w:tcW w:w="1374" w:type="pct"/>
            <w:shd w:val="clear" w:color="auto" w:fill="auto"/>
            <w:vAlign w:val="center"/>
            <w:hideMark/>
          </w:tcPr>
          <w:p w14:paraId="274F9219"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Disseminação de informações internamente</w:t>
            </w:r>
          </w:p>
        </w:tc>
        <w:tc>
          <w:tcPr>
            <w:tcW w:w="3626" w:type="pct"/>
            <w:shd w:val="clear" w:color="auto" w:fill="auto"/>
            <w:vAlign w:val="center"/>
            <w:hideMark/>
          </w:tcPr>
          <w:p w14:paraId="32A4876C" w14:textId="0C5D5230"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Todas as informações referentes à prestação de contas foram divulgadas por meio da Instrução Normativa TCMRIO nº 7/24 e das resoluções CGM</w:t>
            </w:r>
            <w:r w:rsidR="00B54BF0">
              <w:rPr>
                <w:rFonts w:ascii="Calibri" w:eastAsia="Times New Roman" w:hAnsi="Calibri" w:cs="Calibri"/>
                <w:color w:val="000000"/>
                <w:kern w:val="0"/>
                <w:lang w:eastAsia="pt-BR"/>
              </w:rPr>
              <w:t xml:space="preserve"> que tratam das peças obrigatórias e prazos de apresentação</w:t>
            </w:r>
            <w:r w:rsidRPr="00A51E73">
              <w:rPr>
                <w:rFonts w:ascii="Calibri" w:eastAsia="Times New Roman" w:hAnsi="Calibri" w:cs="Calibri"/>
                <w:color w:val="000000"/>
                <w:kern w:val="0"/>
                <w:lang w:eastAsia="pt-BR"/>
              </w:rPr>
              <w:t xml:space="preserve">. Além disso </w:t>
            </w:r>
            <w:r w:rsidR="00B54BF0">
              <w:rPr>
                <w:rFonts w:ascii="Calibri" w:eastAsia="Times New Roman" w:hAnsi="Calibri" w:cs="Calibri"/>
                <w:color w:val="000000"/>
                <w:kern w:val="0"/>
                <w:lang w:eastAsia="pt-BR"/>
              </w:rPr>
              <w:t xml:space="preserve">são </w:t>
            </w:r>
            <w:r w:rsidRPr="00A51E73">
              <w:rPr>
                <w:rFonts w:ascii="Calibri" w:eastAsia="Times New Roman" w:hAnsi="Calibri" w:cs="Calibri"/>
                <w:color w:val="000000"/>
                <w:kern w:val="0"/>
                <w:lang w:eastAsia="pt-BR"/>
              </w:rPr>
              <w:t xml:space="preserve">realizadas reuniões orientadoras com os facilitadores e responsáveis pela elaboração da prestação de contas </w:t>
            </w:r>
            <w:r w:rsidR="00B54BF0">
              <w:rPr>
                <w:rFonts w:ascii="Calibri" w:eastAsia="Times New Roman" w:hAnsi="Calibri" w:cs="Calibri"/>
                <w:color w:val="000000"/>
                <w:kern w:val="0"/>
                <w:lang w:eastAsia="pt-BR"/>
              </w:rPr>
              <w:t>das</w:t>
            </w:r>
            <w:r w:rsidRPr="00A51E73">
              <w:rPr>
                <w:rFonts w:ascii="Calibri" w:eastAsia="Times New Roman" w:hAnsi="Calibri" w:cs="Calibri"/>
                <w:color w:val="000000"/>
                <w:kern w:val="0"/>
                <w:lang w:eastAsia="pt-BR"/>
              </w:rPr>
              <w:t xml:space="preserve"> entidades e estabelecidos canais para dúvidas com </w:t>
            </w:r>
            <w:r w:rsidR="00B54BF0">
              <w:rPr>
                <w:rFonts w:ascii="Calibri" w:eastAsia="Times New Roman" w:hAnsi="Calibri" w:cs="Calibri"/>
                <w:color w:val="000000"/>
                <w:kern w:val="0"/>
                <w:lang w:eastAsia="pt-BR"/>
              </w:rPr>
              <w:t>a auditoria.</w:t>
            </w:r>
          </w:p>
        </w:tc>
      </w:tr>
      <w:tr w:rsidR="005E16F7" w:rsidRPr="00A51E73" w14:paraId="038126BA" w14:textId="77777777" w:rsidTr="00B54BF0">
        <w:trPr>
          <w:trHeight w:val="1380"/>
        </w:trPr>
        <w:tc>
          <w:tcPr>
            <w:tcW w:w="1374" w:type="pct"/>
            <w:shd w:val="clear" w:color="auto" w:fill="auto"/>
            <w:vAlign w:val="center"/>
            <w:hideMark/>
          </w:tcPr>
          <w:p w14:paraId="293B44B1"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Canais de comunicação</w:t>
            </w:r>
          </w:p>
        </w:tc>
        <w:tc>
          <w:tcPr>
            <w:tcW w:w="3626" w:type="pct"/>
            <w:shd w:val="clear" w:color="auto" w:fill="auto"/>
            <w:vAlign w:val="center"/>
            <w:hideMark/>
          </w:tcPr>
          <w:p w14:paraId="61C7029B" w14:textId="2EAE8EA7" w:rsidR="005E16F7" w:rsidRPr="00A51E73" w:rsidRDefault="005E16F7" w:rsidP="005E16F7">
            <w:pPr>
              <w:spacing w:after="0" w:line="240" w:lineRule="auto"/>
              <w:jc w:val="both"/>
              <w:rPr>
                <w:rFonts w:ascii="Calibri" w:eastAsia="Times New Roman" w:hAnsi="Calibri" w:cs="Calibri"/>
                <w:kern w:val="0"/>
                <w:lang w:eastAsia="pt-BR"/>
              </w:rPr>
            </w:pPr>
            <w:r w:rsidRPr="00A51E73">
              <w:rPr>
                <w:rFonts w:ascii="Calibri" w:eastAsia="Times New Roman" w:hAnsi="Calibri" w:cs="Calibri"/>
                <w:kern w:val="0"/>
                <w:lang w:eastAsia="pt-BR"/>
              </w:rPr>
              <w:t xml:space="preserve">A CGM instituiu </w:t>
            </w:r>
            <w:r w:rsidR="00B54BF0">
              <w:rPr>
                <w:rFonts w:ascii="Calibri" w:eastAsia="Times New Roman" w:hAnsi="Calibri" w:cs="Calibri"/>
                <w:kern w:val="0"/>
                <w:lang w:eastAsia="pt-BR"/>
              </w:rPr>
              <w:t>GT-PC-Gestão</w:t>
            </w:r>
            <w:r w:rsidRPr="00A51E73">
              <w:rPr>
                <w:rFonts w:ascii="Calibri" w:eastAsia="Times New Roman" w:hAnsi="Calibri" w:cs="Calibri"/>
                <w:kern w:val="0"/>
                <w:lang w:eastAsia="pt-BR"/>
              </w:rPr>
              <w:t>. Esse grupo</w:t>
            </w:r>
            <w:r w:rsidR="00B54BF0">
              <w:rPr>
                <w:rFonts w:ascii="Calibri" w:eastAsia="Times New Roman" w:hAnsi="Calibri" w:cs="Calibri"/>
                <w:kern w:val="0"/>
                <w:lang w:eastAsia="pt-BR"/>
              </w:rPr>
              <w:t xml:space="preserve"> se encontra</w:t>
            </w:r>
            <w:r w:rsidRPr="00A51E73">
              <w:rPr>
                <w:rFonts w:ascii="Calibri" w:eastAsia="Times New Roman" w:hAnsi="Calibri" w:cs="Calibri"/>
                <w:kern w:val="0"/>
                <w:lang w:eastAsia="pt-BR"/>
              </w:rPr>
              <w:t xml:space="preserve"> envolvido em todo o processo, </w:t>
            </w:r>
            <w:r w:rsidR="00B54BF0">
              <w:rPr>
                <w:rFonts w:ascii="Calibri" w:eastAsia="Times New Roman" w:hAnsi="Calibri" w:cs="Calibri"/>
                <w:kern w:val="0"/>
                <w:lang w:eastAsia="pt-BR"/>
              </w:rPr>
              <w:t>sendo o</w:t>
            </w:r>
            <w:r w:rsidRPr="00A51E73">
              <w:rPr>
                <w:rFonts w:ascii="Calibri" w:eastAsia="Times New Roman" w:hAnsi="Calibri" w:cs="Calibri"/>
                <w:kern w:val="0"/>
                <w:lang w:eastAsia="pt-BR"/>
              </w:rPr>
              <w:t xml:space="preserve"> responsável por realizar reuniões orientadoras com os facilitadores dos órgãos e entidades, e está disponível para orientar e dirimir dúvidas. Além disso, </w:t>
            </w:r>
            <w:r w:rsidR="00B54BF0">
              <w:rPr>
                <w:rFonts w:ascii="Calibri" w:eastAsia="Times New Roman" w:hAnsi="Calibri" w:cs="Calibri"/>
                <w:kern w:val="0"/>
                <w:lang w:eastAsia="pt-BR"/>
              </w:rPr>
              <w:t>é</w:t>
            </w:r>
            <w:r w:rsidRPr="00A51E73">
              <w:rPr>
                <w:rFonts w:ascii="Calibri" w:eastAsia="Times New Roman" w:hAnsi="Calibri" w:cs="Calibri"/>
                <w:kern w:val="0"/>
                <w:lang w:eastAsia="pt-BR"/>
              </w:rPr>
              <w:t xml:space="preserve"> disponibilizado e-mail </w:t>
            </w:r>
            <w:r w:rsidR="00B54BF0">
              <w:rPr>
                <w:rFonts w:ascii="Calibri" w:eastAsia="Times New Roman" w:hAnsi="Calibri" w:cs="Calibri"/>
                <w:kern w:val="0"/>
                <w:lang w:eastAsia="pt-BR"/>
              </w:rPr>
              <w:t xml:space="preserve">e telefones </w:t>
            </w:r>
            <w:r w:rsidRPr="00A51E73">
              <w:rPr>
                <w:rFonts w:ascii="Calibri" w:eastAsia="Times New Roman" w:hAnsi="Calibri" w:cs="Calibri"/>
                <w:kern w:val="0"/>
                <w:lang w:eastAsia="pt-BR"/>
              </w:rPr>
              <w:t>da Auditoria Geral para dúvidas.</w:t>
            </w:r>
          </w:p>
        </w:tc>
      </w:tr>
      <w:tr w:rsidR="005E16F7" w:rsidRPr="00A51E73" w14:paraId="3F612DDD" w14:textId="77777777" w:rsidTr="009C2144">
        <w:trPr>
          <w:trHeight w:val="765"/>
        </w:trPr>
        <w:tc>
          <w:tcPr>
            <w:tcW w:w="5000" w:type="pct"/>
            <w:gridSpan w:val="2"/>
            <w:shd w:val="clear" w:color="auto" w:fill="9CC2E5" w:themeFill="accent1" w:themeFillTint="99"/>
            <w:vAlign w:val="center"/>
          </w:tcPr>
          <w:p w14:paraId="3F0BB666" w14:textId="00CDD493" w:rsidR="005E16F7" w:rsidRPr="00A51E73" w:rsidRDefault="005E16F7" w:rsidP="009C2144">
            <w:pPr>
              <w:spacing w:after="0" w:line="240" w:lineRule="auto"/>
              <w:jc w:val="center"/>
              <w:rPr>
                <w:rFonts w:ascii="Calibri" w:eastAsia="Times New Roman" w:hAnsi="Calibri" w:cs="Calibri"/>
                <w:b/>
                <w:bCs/>
                <w:color w:val="000000"/>
                <w:kern w:val="0"/>
                <w:sz w:val="24"/>
                <w:szCs w:val="24"/>
                <w:lang w:eastAsia="pt-BR"/>
              </w:rPr>
            </w:pPr>
            <w:r w:rsidRPr="00A51E73">
              <w:rPr>
                <w:rFonts w:ascii="Calibri" w:eastAsia="Times New Roman" w:hAnsi="Calibri" w:cs="Calibri"/>
                <w:b/>
                <w:bCs/>
                <w:color w:val="000000"/>
                <w:kern w:val="0"/>
                <w:sz w:val="24"/>
                <w:szCs w:val="24"/>
                <w:lang w:eastAsia="pt-BR"/>
              </w:rPr>
              <w:t>Componente de Controle Interno</w:t>
            </w:r>
            <w:r w:rsidRPr="005E16F7">
              <w:rPr>
                <w:rFonts w:ascii="Calibri" w:eastAsia="Times New Roman" w:hAnsi="Calibri" w:cs="Calibri"/>
                <w:b/>
                <w:bCs/>
                <w:color w:val="000000"/>
                <w:kern w:val="0"/>
                <w:sz w:val="24"/>
                <w:szCs w:val="24"/>
                <w:lang w:eastAsia="pt-BR"/>
              </w:rPr>
              <w:t xml:space="preserve">: </w:t>
            </w:r>
            <w:r w:rsidRPr="00A51E73">
              <w:rPr>
                <w:rFonts w:ascii="Calibri" w:eastAsia="Times New Roman" w:hAnsi="Calibri" w:cs="Calibri"/>
                <w:i/>
                <w:iCs/>
                <w:color w:val="000000"/>
                <w:kern w:val="0"/>
                <w:sz w:val="32"/>
                <w:szCs w:val="32"/>
                <w:lang w:eastAsia="pt-BR"/>
              </w:rPr>
              <w:t>Monitoramento</w:t>
            </w:r>
          </w:p>
        </w:tc>
      </w:tr>
      <w:tr w:rsidR="005E16F7" w:rsidRPr="00A51E73" w14:paraId="0827E05B" w14:textId="77777777" w:rsidTr="00B54BF0">
        <w:trPr>
          <w:trHeight w:val="1638"/>
        </w:trPr>
        <w:tc>
          <w:tcPr>
            <w:tcW w:w="1374" w:type="pct"/>
            <w:shd w:val="clear" w:color="auto" w:fill="auto"/>
            <w:vAlign w:val="center"/>
            <w:hideMark/>
          </w:tcPr>
          <w:p w14:paraId="74715FBE"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Realização de avaliações contínuas</w:t>
            </w:r>
          </w:p>
        </w:tc>
        <w:tc>
          <w:tcPr>
            <w:tcW w:w="3626" w:type="pct"/>
            <w:shd w:val="clear" w:color="auto" w:fill="auto"/>
            <w:vAlign w:val="center"/>
            <w:hideMark/>
          </w:tcPr>
          <w:p w14:paraId="3C72E23A" w14:textId="77777777"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A prestação de contas ocorre anualmente, proporcionando uma oportunidade para que os órgãos reguladores, TCM RJ e a CGM RJ, reavaliem e aprimorem os normativos que regem o processo. Além disso, são realizadas auditorias de monitoramento para acompanhamento da implementação das recomendações decorrentes dos achados reportados no Relatório.</w:t>
            </w:r>
          </w:p>
        </w:tc>
      </w:tr>
      <w:tr w:rsidR="005E16F7" w:rsidRPr="00A51E73" w14:paraId="73F55FD8" w14:textId="77777777" w:rsidTr="00B54BF0">
        <w:trPr>
          <w:trHeight w:val="2966"/>
        </w:trPr>
        <w:tc>
          <w:tcPr>
            <w:tcW w:w="1374" w:type="pct"/>
            <w:shd w:val="clear" w:color="auto" w:fill="auto"/>
            <w:vAlign w:val="center"/>
            <w:hideMark/>
          </w:tcPr>
          <w:p w14:paraId="55EBA302" w14:textId="77777777" w:rsidR="005E16F7" w:rsidRPr="00A51E73" w:rsidRDefault="005E16F7" w:rsidP="005E16F7">
            <w:pPr>
              <w:spacing w:after="0" w:line="240" w:lineRule="auto"/>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Comunicação das deficiências dos controles internos</w:t>
            </w:r>
          </w:p>
        </w:tc>
        <w:tc>
          <w:tcPr>
            <w:tcW w:w="3626" w:type="pct"/>
            <w:shd w:val="clear" w:color="auto" w:fill="auto"/>
            <w:vAlign w:val="center"/>
            <w:hideMark/>
          </w:tcPr>
          <w:p w14:paraId="4BD95E2A" w14:textId="642422DE" w:rsidR="005E16F7" w:rsidRPr="00A51E73" w:rsidRDefault="005E16F7" w:rsidP="005E16F7">
            <w:pPr>
              <w:spacing w:after="0" w:line="240" w:lineRule="auto"/>
              <w:jc w:val="both"/>
              <w:rPr>
                <w:rFonts w:ascii="Calibri" w:eastAsia="Times New Roman" w:hAnsi="Calibri" w:cs="Calibri"/>
                <w:color w:val="000000"/>
                <w:kern w:val="0"/>
                <w:lang w:eastAsia="pt-BR"/>
              </w:rPr>
            </w:pPr>
            <w:r w:rsidRPr="00A51E73">
              <w:rPr>
                <w:rFonts w:ascii="Calibri" w:eastAsia="Times New Roman" w:hAnsi="Calibri" w:cs="Calibri"/>
                <w:color w:val="000000"/>
                <w:kern w:val="0"/>
                <w:lang w:eastAsia="pt-BR"/>
              </w:rPr>
              <w:t>Segundo a OT de Serviço de Avaliação é obrigatória a realização de reunião de apresentação de Matriz de Achados, bem como de apresentação de Relatório Preliminar de Auditoria, quando é dada ciência ao auditado sobre as deficiências dos controles internos, e a oportunidade de apresentar justificativas, bem como propostas de melhorias. Ainda no processo instrutivo de prestação de contas da gestão, o responsável anexa Plano de Ações Corretivas, referente às recomendações apontadas no Relatório Final de Auditoria, encaminhando ao TCM Rio. Já na fase do Monitoramento das recomendações, os responsáveis reportam sobre as ações tomadas e controles implementados.</w:t>
            </w:r>
          </w:p>
        </w:tc>
      </w:tr>
    </w:tbl>
    <w:p w14:paraId="7AE7DBC1" w14:textId="77777777" w:rsidR="00A51E73" w:rsidRPr="00A51E73" w:rsidRDefault="00A51E73" w:rsidP="00A51E73">
      <w:pPr>
        <w:spacing w:before="120" w:after="120" w:line="256" w:lineRule="auto"/>
        <w:jc w:val="both"/>
        <w:rPr>
          <w:rFonts w:ascii="Calibri" w:eastAsia="Times New Roman" w:hAnsi="Calibri" w:cs="Calibri"/>
          <w:kern w:val="0"/>
          <w:lang w:eastAsia="pt-BR"/>
        </w:rPr>
      </w:pPr>
      <w:bookmarkStart w:id="0" w:name="_Hlk190271191"/>
    </w:p>
    <w:p w14:paraId="6DB456B6" w14:textId="77777777" w:rsidR="00C427D8" w:rsidRPr="004236AC" w:rsidRDefault="00C427D8" w:rsidP="00C427D8">
      <w:pPr>
        <w:pStyle w:val="PargrafodaLista"/>
        <w:spacing w:before="120" w:after="120"/>
        <w:ind w:left="790"/>
        <w:jc w:val="both"/>
        <w:rPr>
          <w:rFonts w:ascii="Calibri" w:eastAsia="Times New Roman" w:hAnsi="Calibri" w:cs="Calibri"/>
          <w:kern w:val="0"/>
          <w:lang w:eastAsia="pt-BR"/>
        </w:rPr>
      </w:pPr>
    </w:p>
    <w:bookmarkEnd w:id="0"/>
    <w:p w14:paraId="1AD3AF7D" w14:textId="648F7573" w:rsidR="004236AC" w:rsidRPr="00414C6C" w:rsidRDefault="004236AC" w:rsidP="004236AC">
      <w:pPr>
        <w:pStyle w:val="PargrafodaLista"/>
        <w:spacing w:before="120" w:after="120"/>
        <w:ind w:left="790"/>
        <w:jc w:val="both"/>
        <w:rPr>
          <w:rFonts w:ascii="Calibri" w:eastAsia="Times New Roman" w:hAnsi="Calibri" w:cs="Calibri"/>
          <w:kern w:val="0"/>
          <w:lang w:eastAsia="pt-BR"/>
        </w:rPr>
      </w:pPr>
    </w:p>
    <w:sectPr w:rsidR="004236AC" w:rsidRPr="00414C6C" w:rsidSect="009D614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6A26" w14:textId="77777777" w:rsidR="00307462" w:rsidRDefault="00307462" w:rsidP="00CB77C7">
      <w:pPr>
        <w:spacing w:after="0" w:line="240" w:lineRule="auto"/>
      </w:pPr>
      <w:r>
        <w:separator/>
      </w:r>
    </w:p>
  </w:endnote>
  <w:endnote w:type="continuationSeparator" w:id="0">
    <w:p w14:paraId="6CE55C5A" w14:textId="77777777" w:rsidR="00307462" w:rsidRDefault="00307462" w:rsidP="00CB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EB1F" w14:textId="77777777" w:rsidR="00307462" w:rsidRDefault="00307462" w:rsidP="00CB77C7">
      <w:pPr>
        <w:spacing w:after="0" w:line="240" w:lineRule="auto"/>
      </w:pPr>
      <w:r>
        <w:separator/>
      </w:r>
    </w:p>
  </w:footnote>
  <w:footnote w:type="continuationSeparator" w:id="0">
    <w:p w14:paraId="7088A9AD" w14:textId="77777777" w:rsidR="00307462" w:rsidRDefault="00307462" w:rsidP="00CB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6456" w14:textId="7DB3C3F2" w:rsidR="00404237" w:rsidRPr="006F632F" w:rsidRDefault="00CB77C7" w:rsidP="00404237">
    <w:pPr>
      <w:pStyle w:val="Cabealho"/>
      <w:jc w:val="right"/>
      <w:rPr>
        <w:rFonts w:ascii="Calibri" w:hAnsi="Calibri" w:cs="Calibri"/>
        <w:i/>
        <w:sz w:val="24"/>
        <w:szCs w:val="24"/>
      </w:rPr>
    </w:pPr>
    <w:r w:rsidRPr="00536BE9">
      <w:rPr>
        <w:i/>
        <w:sz w:val="24"/>
        <w:szCs w:val="24"/>
      </w:rPr>
      <w:t>Apêndice</w:t>
    </w:r>
    <w:r w:rsidRPr="00536BE9">
      <w:rPr>
        <w:i/>
      </w:rPr>
      <w:t xml:space="preserve"> </w:t>
    </w:r>
    <w:r w:rsidR="00CA4C95">
      <w:rPr>
        <w:i/>
      </w:rPr>
      <w:t>V</w:t>
    </w:r>
    <w:r w:rsidRPr="00536BE9">
      <w:rPr>
        <w:i/>
      </w:rPr>
      <w:t xml:space="preserve"> </w:t>
    </w:r>
    <w:r w:rsidRPr="00536BE9">
      <w:rPr>
        <w:i/>
        <w:sz w:val="24"/>
        <w:szCs w:val="24"/>
      </w:rPr>
      <w:t>da Orientação Técnica – Serviço de Avaliação</w:t>
    </w:r>
    <w:r w:rsidR="00404237">
      <w:rPr>
        <w:i/>
        <w:sz w:val="24"/>
        <w:szCs w:val="24"/>
      </w:rPr>
      <w:t xml:space="preserve"> </w:t>
    </w:r>
    <w:r w:rsidR="00404237">
      <w:rPr>
        <w:rFonts w:ascii="Calibri" w:hAnsi="Calibri" w:cs="Calibri"/>
        <w:i/>
        <w:sz w:val="24"/>
        <w:szCs w:val="24"/>
      </w:rPr>
      <w:t>das Contas Anuais da Gestão</w:t>
    </w:r>
  </w:p>
  <w:p w14:paraId="4020119B" w14:textId="77777777" w:rsidR="00404237" w:rsidRDefault="00404237" w:rsidP="00404237">
    <w:pPr>
      <w:pStyle w:val="Cabealho"/>
    </w:pPr>
  </w:p>
  <w:p w14:paraId="0B2DBAD8" w14:textId="29504366" w:rsidR="00CB77C7" w:rsidRPr="00536BE9" w:rsidRDefault="00CB77C7" w:rsidP="00CB77C7">
    <w:pPr>
      <w:pStyle w:val="Cabealho"/>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F89"/>
    <w:multiLevelType w:val="hybridMultilevel"/>
    <w:tmpl w:val="58C64026"/>
    <w:lvl w:ilvl="0" w:tplc="0416000D">
      <w:start w:val="1"/>
      <w:numFmt w:val="bullet"/>
      <w:lvlText w:val=""/>
      <w:lvlJc w:val="left"/>
      <w:pPr>
        <w:ind w:left="790" w:hanging="360"/>
      </w:pPr>
      <w:rPr>
        <w:rFonts w:ascii="Wingdings" w:hAnsi="Wingdings" w:hint="default"/>
      </w:rPr>
    </w:lvl>
    <w:lvl w:ilvl="1" w:tplc="04160003" w:tentative="1">
      <w:start w:val="1"/>
      <w:numFmt w:val="bullet"/>
      <w:lvlText w:val="o"/>
      <w:lvlJc w:val="left"/>
      <w:pPr>
        <w:ind w:left="1510" w:hanging="360"/>
      </w:pPr>
      <w:rPr>
        <w:rFonts w:ascii="Courier New" w:hAnsi="Courier New" w:cs="Courier New" w:hint="default"/>
      </w:rPr>
    </w:lvl>
    <w:lvl w:ilvl="2" w:tplc="04160005" w:tentative="1">
      <w:start w:val="1"/>
      <w:numFmt w:val="bullet"/>
      <w:lvlText w:val=""/>
      <w:lvlJc w:val="left"/>
      <w:pPr>
        <w:ind w:left="2230" w:hanging="360"/>
      </w:pPr>
      <w:rPr>
        <w:rFonts w:ascii="Wingdings" w:hAnsi="Wingdings" w:hint="default"/>
      </w:rPr>
    </w:lvl>
    <w:lvl w:ilvl="3" w:tplc="04160001" w:tentative="1">
      <w:start w:val="1"/>
      <w:numFmt w:val="bullet"/>
      <w:lvlText w:val=""/>
      <w:lvlJc w:val="left"/>
      <w:pPr>
        <w:ind w:left="2950" w:hanging="360"/>
      </w:pPr>
      <w:rPr>
        <w:rFonts w:ascii="Symbol" w:hAnsi="Symbol" w:hint="default"/>
      </w:rPr>
    </w:lvl>
    <w:lvl w:ilvl="4" w:tplc="04160003" w:tentative="1">
      <w:start w:val="1"/>
      <w:numFmt w:val="bullet"/>
      <w:lvlText w:val="o"/>
      <w:lvlJc w:val="left"/>
      <w:pPr>
        <w:ind w:left="3670" w:hanging="360"/>
      </w:pPr>
      <w:rPr>
        <w:rFonts w:ascii="Courier New" w:hAnsi="Courier New" w:cs="Courier New" w:hint="default"/>
      </w:rPr>
    </w:lvl>
    <w:lvl w:ilvl="5" w:tplc="04160005" w:tentative="1">
      <w:start w:val="1"/>
      <w:numFmt w:val="bullet"/>
      <w:lvlText w:val=""/>
      <w:lvlJc w:val="left"/>
      <w:pPr>
        <w:ind w:left="4390" w:hanging="360"/>
      </w:pPr>
      <w:rPr>
        <w:rFonts w:ascii="Wingdings" w:hAnsi="Wingdings" w:hint="default"/>
      </w:rPr>
    </w:lvl>
    <w:lvl w:ilvl="6" w:tplc="04160001" w:tentative="1">
      <w:start w:val="1"/>
      <w:numFmt w:val="bullet"/>
      <w:lvlText w:val=""/>
      <w:lvlJc w:val="left"/>
      <w:pPr>
        <w:ind w:left="5110" w:hanging="360"/>
      </w:pPr>
      <w:rPr>
        <w:rFonts w:ascii="Symbol" w:hAnsi="Symbol" w:hint="default"/>
      </w:rPr>
    </w:lvl>
    <w:lvl w:ilvl="7" w:tplc="04160003" w:tentative="1">
      <w:start w:val="1"/>
      <w:numFmt w:val="bullet"/>
      <w:lvlText w:val="o"/>
      <w:lvlJc w:val="left"/>
      <w:pPr>
        <w:ind w:left="5830" w:hanging="360"/>
      </w:pPr>
      <w:rPr>
        <w:rFonts w:ascii="Courier New" w:hAnsi="Courier New" w:cs="Courier New" w:hint="default"/>
      </w:rPr>
    </w:lvl>
    <w:lvl w:ilvl="8" w:tplc="04160005" w:tentative="1">
      <w:start w:val="1"/>
      <w:numFmt w:val="bullet"/>
      <w:lvlText w:val=""/>
      <w:lvlJc w:val="left"/>
      <w:pPr>
        <w:ind w:left="6550" w:hanging="360"/>
      </w:pPr>
      <w:rPr>
        <w:rFonts w:ascii="Wingdings" w:hAnsi="Wingdings" w:hint="default"/>
      </w:rPr>
    </w:lvl>
  </w:abstractNum>
  <w:num w:numId="1" w16cid:durableId="230821999">
    <w:abstractNumId w:val="0"/>
  </w:num>
  <w:num w:numId="2" w16cid:durableId="41452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F0"/>
    <w:rsid w:val="00015590"/>
    <w:rsid w:val="00053AC7"/>
    <w:rsid w:val="00077136"/>
    <w:rsid w:val="000C56DA"/>
    <w:rsid w:val="000E641C"/>
    <w:rsid w:val="000E6D1B"/>
    <w:rsid w:val="00146EEF"/>
    <w:rsid w:val="00193795"/>
    <w:rsid w:val="00194E12"/>
    <w:rsid w:val="001A3C51"/>
    <w:rsid w:val="001C59E2"/>
    <w:rsid w:val="001D118D"/>
    <w:rsid w:val="001F21A8"/>
    <w:rsid w:val="00202D4C"/>
    <w:rsid w:val="0024596C"/>
    <w:rsid w:val="002637E3"/>
    <w:rsid w:val="002C1D87"/>
    <w:rsid w:val="00307462"/>
    <w:rsid w:val="0032166B"/>
    <w:rsid w:val="00333861"/>
    <w:rsid w:val="00393A58"/>
    <w:rsid w:val="00396B9D"/>
    <w:rsid w:val="003C1777"/>
    <w:rsid w:val="003F68CD"/>
    <w:rsid w:val="00404237"/>
    <w:rsid w:val="00414C6C"/>
    <w:rsid w:val="00416274"/>
    <w:rsid w:val="004236AC"/>
    <w:rsid w:val="00444BF6"/>
    <w:rsid w:val="004916D7"/>
    <w:rsid w:val="004B08EF"/>
    <w:rsid w:val="00536BE9"/>
    <w:rsid w:val="00541C0A"/>
    <w:rsid w:val="005864DE"/>
    <w:rsid w:val="005E16F7"/>
    <w:rsid w:val="00656A66"/>
    <w:rsid w:val="00671D98"/>
    <w:rsid w:val="006A3107"/>
    <w:rsid w:val="006A5466"/>
    <w:rsid w:val="006C3155"/>
    <w:rsid w:val="006C5028"/>
    <w:rsid w:val="006C7CB9"/>
    <w:rsid w:val="006E70C1"/>
    <w:rsid w:val="00736929"/>
    <w:rsid w:val="007555CE"/>
    <w:rsid w:val="00760BB5"/>
    <w:rsid w:val="007A3693"/>
    <w:rsid w:val="007B6297"/>
    <w:rsid w:val="00817B35"/>
    <w:rsid w:val="00827555"/>
    <w:rsid w:val="00851503"/>
    <w:rsid w:val="008639A8"/>
    <w:rsid w:val="00866EF0"/>
    <w:rsid w:val="008677F1"/>
    <w:rsid w:val="008A1264"/>
    <w:rsid w:val="008A1F83"/>
    <w:rsid w:val="008E139E"/>
    <w:rsid w:val="008F2E62"/>
    <w:rsid w:val="00914B92"/>
    <w:rsid w:val="009A775F"/>
    <w:rsid w:val="009B576D"/>
    <w:rsid w:val="009D6141"/>
    <w:rsid w:val="00A03AFD"/>
    <w:rsid w:val="00A47CBE"/>
    <w:rsid w:val="00A51E73"/>
    <w:rsid w:val="00AD6882"/>
    <w:rsid w:val="00AF23A5"/>
    <w:rsid w:val="00B54BF0"/>
    <w:rsid w:val="00BD067B"/>
    <w:rsid w:val="00BE0707"/>
    <w:rsid w:val="00C427D8"/>
    <w:rsid w:val="00C553C0"/>
    <w:rsid w:val="00CA4C95"/>
    <w:rsid w:val="00CB77C7"/>
    <w:rsid w:val="00CE4906"/>
    <w:rsid w:val="00D140C9"/>
    <w:rsid w:val="00D44A4F"/>
    <w:rsid w:val="00D70FFC"/>
    <w:rsid w:val="00DB271E"/>
    <w:rsid w:val="00DF29ED"/>
    <w:rsid w:val="00E034DB"/>
    <w:rsid w:val="00E04C15"/>
    <w:rsid w:val="00E13783"/>
    <w:rsid w:val="00E25271"/>
    <w:rsid w:val="00E26520"/>
    <w:rsid w:val="00E31303"/>
    <w:rsid w:val="00E35C71"/>
    <w:rsid w:val="00E51BEA"/>
    <w:rsid w:val="00E57653"/>
    <w:rsid w:val="00E95D3B"/>
    <w:rsid w:val="00EB2DBD"/>
    <w:rsid w:val="00ED2A57"/>
    <w:rsid w:val="00ED348B"/>
    <w:rsid w:val="00F10DE9"/>
    <w:rsid w:val="00F573B1"/>
    <w:rsid w:val="00F77DEF"/>
    <w:rsid w:val="00F965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3FBD"/>
  <w15:docId w15:val="{76291FB1-07CF-4A30-ACDB-CBD1193E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41"/>
  </w:style>
  <w:style w:type="paragraph" w:styleId="Ttulo1">
    <w:name w:val="heading 1"/>
    <w:basedOn w:val="Normal"/>
    <w:next w:val="Normal"/>
    <w:link w:val="Ttulo1Char"/>
    <w:uiPriority w:val="9"/>
    <w:qFormat/>
    <w:rsid w:val="00E51B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77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77C7"/>
  </w:style>
  <w:style w:type="paragraph" w:styleId="Rodap">
    <w:name w:val="footer"/>
    <w:basedOn w:val="Normal"/>
    <w:link w:val="RodapChar"/>
    <w:uiPriority w:val="99"/>
    <w:unhideWhenUsed/>
    <w:rsid w:val="00CB77C7"/>
    <w:pPr>
      <w:tabs>
        <w:tab w:val="center" w:pos="4252"/>
        <w:tab w:val="right" w:pos="8504"/>
      </w:tabs>
      <w:spacing w:after="0" w:line="240" w:lineRule="auto"/>
    </w:pPr>
  </w:style>
  <w:style w:type="character" w:customStyle="1" w:styleId="RodapChar">
    <w:name w:val="Rodapé Char"/>
    <w:basedOn w:val="Fontepargpadro"/>
    <w:link w:val="Rodap"/>
    <w:uiPriority w:val="99"/>
    <w:rsid w:val="00CB77C7"/>
  </w:style>
  <w:style w:type="paragraph" w:styleId="Textodebalo">
    <w:name w:val="Balloon Text"/>
    <w:basedOn w:val="Normal"/>
    <w:link w:val="TextodebaloChar"/>
    <w:uiPriority w:val="99"/>
    <w:semiHidden/>
    <w:unhideWhenUsed/>
    <w:rsid w:val="00CB77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77C7"/>
    <w:rPr>
      <w:rFonts w:ascii="Tahoma" w:hAnsi="Tahoma" w:cs="Tahoma"/>
      <w:sz w:val="16"/>
      <w:szCs w:val="16"/>
    </w:rPr>
  </w:style>
  <w:style w:type="table" w:styleId="Tabelacomgrade">
    <w:name w:val="Table Grid"/>
    <w:basedOn w:val="Tabelanormal"/>
    <w:uiPriority w:val="39"/>
    <w:rsid w:val="00E3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A3C51"/>
    <w:pPr>
      <w:ind w:left="720"/>
      <w:contextualSpacing/>
    </w:pPr>
  </w:style>
  <w:style w:type="character" w:styleId="Refdecomentrio">
    <w:name w:val="annotation reference"/>
    <w:basedOn w:val="Fontepargpadro"/>
    <w:uiPriority w:val="99"/>
    <w:semiHidden/>
    <w:unhideWhenUsed/>
    <w:rsid w:val="00D140C9"/>
    <w:rPr>
      <w:sz w:val="16"/>
      <w:szCs w:val="16"/>
    </w:rPr>
  </w:style>
  <w:style w:type="paragraph" w:styleId="Textodecomentrio">
    <w:name w:val="annotation text"/>
    <w:basedOn w:val="Normal"/>
    <w:link w:val="TextodecomentrioChar"/>
    <w:uiPriority w:val="99"/>
    <w:semiHidden/>
    <w:unhideWhenUsed/>
    <w:rsid w:val="00D140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140C9"/>
    <w:rPr>
      <w:sz w:val="20"/>
      <w:szCs w:val="20"/>
    </w:rPr>
  </w:style>
  <w:style w:type="paragraph" w:styleId="Assuntodocomentrio">
    <w:name w:val="annotation subject"/>
    <w:basedOn w:val="Textodecomentrio"/>
    <w:next w:val="Textodecomentrio"/>
    <w:link w:val="AssuntodocomentrioChar"/>
    <w:uiPriority w:val="99"/>
    <w:semiHidden/>
    <w:unhideWhenUsed/>
    <w:rsid w:val="00D140C9"/>
    <w:rPr>
      <w:b/>
      <w:bCs/>
    </w:rPr>
  </w:style>
  <w:style w:type="character" w:customStyle="1" w:styleId="AssuntodocomentrioChar">
    <w:name w:val="Assunto do comentário Char"/>
    <w:basedOn w:val="TextodecomentrioChar"/>
    <w:link w:val="Assuntodocomentrio"/>
    <w:uiPriority w:val="99"/>
    <w:semiHidden/>
    <w:rsid w:val="00D140C9"/>
    <w:rPr>
      <w:b/>
      <w:bCs/>
      <w:sz w:val="20"/>
      <w:szCs w:val="20"/>
    </w:rPr>
  </w:style>
  <w:style w:type="character" w:customStyle="1" w:styleId="Ttulo1Char">
    <w:name w:val="Título 1 Char"/>
    <w:basedOn w:val="Fontepargpadro"/>
    <w:link w:val="Ttulo1"/>
    <w:uiPriority w:val="9"/>
    <w:rsid w:val="00E51B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130">
      <w:bodyDiv w:val="1"/>
      <w:marLeft w:val="0"/>
      <w:marRight w:val="0"/>
      <w:marTop w:val="0"/>
      <w:marBottom w:val="0"/>
      <w:divBdr>
        <w:top w:val="none" w:sz="0" w:space="0" w:color="auto"/>
        <w:left w:val="none" w:sz="0" w:space="0" w:color="auto"/>
        <w:bottom w:val="none" w:sz="0" w:space="0" w:color="auto"/>
        <w:right w:val="none" w:sz="0" w:space="0" w:color="auto"/>
      </w:divBdr>
    </w:div>
    <w:div w:id="381901211">
      <w:bodyDiv w:val="1"/>
      <w:marLeft w:val="0"/>
      <w:marRight w:val="0"/>
      <w:marTop w:val="0"/>
      <w:marBottom w:val="0"/>
      <w:divBdr>
        <w:top w:val="none" w:sz="0" w:space="0" w:color="auto"/>
        <w:left w:val="none" w:sz="0" w:space="0" w:color="auto"/>
        <w:bottom w:val="none" w:sz="0" w:space="0" w:color="auto"/>
        <w:right w:val="none" w:sz="0" w:space="0" w:color="auto"/>
      </w:divBdr>
    </w:div>
    <w:div w:id="614555313">
      <w:bodyDiv w:val="1"/>
      <w:marLeft w:val="0"/>
      <w:marRight w:val="0"/>
      <w:marTop w:val="0"/>
      <w:marBottom w:val="0"/>
      <w:divBdr>
        <w:top w:val="none" w:sz="0" w:space="0" w:color="auto"/>
        <w:left w:val="none" w:sz="0" w:space="0" w:color="auto"/>
        <w:bottom w:val="none" w:sz="0" w:space="0" w:color="auto"/>
        <w:right w:val="none" w:sz="0" w:space="0" w:color="auto"/>
      </w:divBdr>
    </w:div>
    <w:div w:id="633607529">
      <w:bodyDiv w:val="1"/>
      <w:marLeft w:val="0"/>
      <w:marRight w:val="0"/>
      <w:marTop w:val="0"/>
      <w:marBottom w:val="0"/>
      <w:divBdr>
        <w:top w:val="none" w:sz="0" w:space="0" w:color="auto"/>
        <w:left w:val="none" w:sz="0" w:space="0" w:color="auto"/>
        <w:bottom w:val="none" w:sz="0" w:space="0" w:color="auto"/>
        <w:right w:val="none" w:sz="0" w:space="0" w:color="auto"/>
      </w:divBdr>
    </w:div>
    <w:div w:id="764115817">
      <w:bodyDiv w:val="1"/>
      <w:marLeft w:val="0"/>
      <w:marRight w:val="0"/>
      <w:marTop w:val="0"/>
      <w:marBottom w:val="0"/>
      <w:divBdr>
        <w:top w:val="none" w:sz="0" w:space="0" w:color="auto"/>
        <w:left w:val="none" w:sz="0" w:space="0" w:color="auto"/>
        <w:bottom w:val="none" w:sz="0" w:space="0" w:color="auto"/>
        <w:right w:val="none" w:sz="0" w:space="0" w:color="auto"/>
      </w:divBdr>
    </w:div>
    <w:div w:id="1022441372">
      <w:bodyDiv w:val="1"/>
      <w:marLeft w:val="0"/>
      <w:marRight w:val="0"/>
      <w:marTop w:val="0"/>
      <w:marBottom w:val="0"/>
      <w:divBdr>
        <w:top w:val="none" w:sz="0" w:space="0" w:color="auto"/>
        <w:left w:val="none" w:sz="0" w:space="0" w:color="auto"/>
        <w:bottom w:val="none" w:sz="0" w:space="0" w:color="auto"/>
        <w:right w:val="none" w:sz="0" w:space="0" w:color="auto"/>
      </w:divBdr>
    </w:div>
    <w:div w:id="1115445983">
      <w:bodyDiv w:val="1"/>
      <w:marLeft w:val="0"/>
      <w:marRight w:val="0"/>
      <w:marTop w:val="0"/>
      <w:marBottom w:val="0"/>
      <w:divBdr>
        <w:top w:val="none" w:sz="0" w:space="0" w:color="auto"/>
        <w:left w:val="none" w:sz="0" w:space="0" w:color="auto"/>
        <w:bottom w:val="none" w:sz="0" w:space="0" w:color="auto"/>
        <w:right w:val="none" w:sz="0" w:space="0" w:color="auto"/>
      </w:divBdr>
    </w:div>
    <w:div w:id="1536431106">
      <w:bodyDiv w:val="1"/>
      <w:marLeft w:val="0"/>
      <w:marRight w:val="0"/>
      <w:marTop w:val="0"/>
      <w:marBottom w:val="0"/>
      <w:divBdr>
        <w:top w:val="none" w:sz="0" w:space="0" w:color="auto"/>
        <w:left w:val="none" w:sz="0" w:space="0" w:color="auto"/>
        <w:bottom w:val="none" w:sz="0" w:space="0" w:color="auto"/>
        <w:right w:val="none" w:sz="0" w:space="0" w:color="auto"/>
      </w:divBdr>
    </w:div>
    <w:div w:id="1668707247">
      <w:bodyDiv w:val="1"/>
      <w:marLeft w:val="0"/>
      <w:marRight w:val="0"/>
      <w:marTop w:val="0"/>
      <w:marBottom w:val="0"/>
      <w:divBdr>
        <w:top w:val="none" w:sz="0" w:space="0" w:color="auto"/>
        <w:left w:val="none" w:sz="0" w:space="0" w:color="auto"/>
        <w:bottom w:val="none" w:sz="0" w:space="0" w:color="auto"/>
        <w:right w:val="none" w:sz="0" w:space="0" w:color="auto"/>
      </w:divBdr>
    </w:div>
    <w:div w:id="1813785272">
      <w:bodyDiv w:val="1"/>
      <w:marLeft w:val="0"/>
      <w:marRight w:val="0"/>
      <w:marTop w:val="0"/>
      <w:marBottom w:val="0"/>
      <w:divBdr>
        <w:top w:val="none" w:sz="0" w:space="0" w:color="auto"/>
        <w:left w:val="none" w:sz="0" w:space="0" w:color="auto"/>
        <w:bottom w:val="none" w:sz="0" w:space="0" w:color="auto"/>
        <w:right w:val="none" w:sz="0" w:space="0" w:color="auto"/>
      </w:divBdr>
    </w:div>
    <w:div w:id="19535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D441-1C8F-46FB-9785-04D21557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1039</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Érika Corrêa Coelho</dc:creator>
  <cp:keywords/>
  <dc:description/>
  <cp:lastModifiedBy>Paulo Sérgio Siqueira Bastos</cp:lastModifiedBy>
  <cp:revision>3</cp:revision>
  <cp:lastPrinted>2024-07-08T17:13:00Z</cp:lastPrinted>
  <dcterms:created xsi:type="dcterms:W3CDTF">2025-04-15T15:28:00Z</dcterms:created>
  <dcterms:modified xsi:type="dcterms:W3CDTF">2025-04-15T15:58:00Z</dcterms:modified>
</cp:coreProperties>
</file>